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/>
        <w:jc w:val="center"/>
      </w:pPr>
      <w:r>
        <w:rPr>
          <w:rFonts w:ascii="Century Gothic" w:hAnsi="Century Gothic"/>
          <w:b/>
          <w:i w:val="0"/>
          <w:color w:val="C89620"/>
          <w:sz w:val="20"/>
        </w:rPr>
        <w:t>MÓDULO 1 • CASE 1</w:t>
      </w:r>
    </w:p>
    <w:p>
      <w:pPr>
        <w:pStyle w:val="Title"/>
        <w:jc w:val="center"/>
      </w:pPr>
      <w:r>
        <w:rPr>
          <w:rFonts w:ascii="Century Gothic" w:hAnsi="Century Gothic"/>
          <w:b/>
          <w:i w:val="0"/>
          <w:color w:val="064532"/>
          <w:sz w:val="48"/>
        </w:rPr>
        <w:t>Contribuições do RPPS não conciliadas</w:t>
      </w:r>
    </w:p>
    <w:p>
      <w:pPr>
        <w:jc w:val="center"/>
      </w:pPr>
      <w:r>
        <w:rPr>
          <w:rFonts w:ascii="Century Gothic" w:hAnsi="Century Gothic"/>
          <w:b w:val="0"/>
          <w:i w:val="0"/>
          <w:color w:val="596B65"/>
          <w:sz w:val="24"/>
        </w:rPr>
        <w:t>Roteiro de auditoria e execução dos papéis de trabalho</w:t>
      </w:r>
    </w:p>
    <w:p>
      <w:pPr>
        <w:spacing w:before="200"/>
        <w:jc w:val="center"/>
      </w:pPr>
      <w:r>
        <w:rPr>
          <w:rFonts w:ascii="Century Gothic" w:hAnsi="Century Gothic"/>
          <w:b/>
          <w:i w:val="0"/>
          <w:color w:val="0B5D46"/>
          <w:sz w:val="18"/>
        </w:rPr>
        <w:t>Dados didáticos anonimizados • 20 de agosto de 2026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792"/>
            <w:shd w:fill="EAF3EF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r>
              <w:rPr>
                <w:rFonts w:ascii="Century Gothic" w:hAnsi="Century Gothic"/>
                <w:b/>
                <w:i w:val="0"/>
                <w:color w:val="064532"/>
                <w:sz w:val="20"/>
              </w:rPr>
              <w:t xml:space="preserve">Escopo: </w:t>
            </w:r>
            <w:r>
              <w:rPr>
                <w:rFonts w:ascii="Century Gothic" w:hAnsi="Century Gothic"/>
                <w:b w:val="0"/>
                <w:i w:val="0"/>
                <w:color w:val="17342C"/>
                <w:sz w:val="20"/>
              </w:rPr>
              <w:t>Reconstrução mensal das contribuições patronais e dos segurados, do fato gerador até o ingresso e a baixa no RPPS, incluindo encargos e parcelamentos.</w:t>
            </w:r>
          </w:p>
        </w:tc>
      </w:tr>
    </w:tbl>
    <w:p>
      <w:pPr>
        <w:spacing w:after="0"/>
      </w:pPr>
    </w:p>
    <w:p>
      <w:pPr>
        <w:pStyle w:val="Heading1"/>
      </w:pPr>
      <w:r>
        <w:t>1. Objetivo e produtos</w:t>
      </w:r>
    </w:p>
    <w:p>
      <w:pPr>
        <w:pStyle w:val="ListBullet"/>
      </w:pPr>
      <w:r>
        <w:t>Quantificar diferenças por competência, natureza e fonte.</w:t>
      </w:r>
    </w:p>
    <w:p>
      <w:pPr>
        <w:pStyle w:val="ListBullet"/>
      </w:pPr>
      <w:r>
        <w:t>Identificar atrasos, retenções não repassadas, créditos não baixados, encargos e parcelamentos.</w:t>
      </w:r>
    </w:p>
    <w:p>
      <w:pPr>
        <w:pStyle w:val="ListBullet"/>
      </w:pPr>
      <w:r>
        <w:t>Produzir matriz de achados e resposta técnica rastreável.</w:t>
      </w:r>
    </w:p>
    <w:p>
      <w:pPr>
        <w:pStyle w:val="ListBullet"/>
      </w:pPr>
      <w:r>
        <w:t>Entregar planilha preenchida, evidências referenciadas e minuta sujeita à revisão humana.</w:t>
      </w:r>
    </w:p>
    <w:p>
      <w:pPr>
        <w:pStyle w:val="Heading1"/>
      </w:pPr>
      <w:r>
        <w:t>2. Documentos mínimos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rPr>
          <w:tblHeader w:val="true"/>
        </w:trPr>
        <w:tc>
          <w:tcPr>
            <w:tcW w:type="dxa" w:w="1440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Bloco</w:t>
            </w:r>
          </w:p>
        </w:tc>
        <w:tc>
          <w:tcPr>
            <w:tcW w:type="dxa" w:w="4464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Documentos</w:t>
            </w:r>
          </w:p>
        </w:tc>
        <w:tc>
          <w:tcPr>
            <w:tcW w:type="dxa" w:w="3456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Teste</w:t>
            </w:r>
          </w:p>
        </w:tc>
      </w:tr>
      <w:tr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Ente</w:t>
            </w:r>
          </w:p>
        </w:tc>
        <w:tc>
          <w:tcPr>
            <w:tcW w:type="dxa" w:w="446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Folha; lei de custeio; razão; despesa 3.1.91.13; retenções; guias; banco</w:t>
            </w:r>
          </w:p>
        </w:tc>
        <w:tc>
          <w:tcPr>
            <w:tcW w:type="dxa" w:w="34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Base × alíquota × devido × empenhado × liquidado × pago</w:t>
            </w:r>
          </w:p>
        </w:tc>
      </w:tr>
      <w:tr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RPPS</w:t>
            </w:r>
          </w:p>
        </w:tc>
        <w:tc>
          <w:tcPr>
            <w:tcW w:type="dxa" w:w="446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Razão; direitos; VPA; receita; banco; DIPR; CADPREV</w:t>
            </w:r>
          </w:p>
        </w:tc>
        <w:tc>
          <w:tcPr>
            <w:tcW w:type="dxa" w:w="34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Direito × VPA × receita × ingresso × baixa</w:t>
            </w:r>
          </w:p>
        </w:tc>
      </w:tr>
      <w:tr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Parcelamento</w:t>
            </w:r>
          </w:p>
        </w:tc>
        <w:tc>
          <w:tcPr>
            <w:tcW w:type="dxa" w:w="446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Lei; termo; CADPREV; memória; cronograma; pagamentos</w:t>
            </w:r>
          </w:p>
        </w:tc>
        <w:tc>
          <w:tcPr>
            <w:tcW w:type="dxa" w:w="34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Principal × encargos × saldo vencido/pago/a vencer</w:t>
            </w:r>
          </w:p>
        </w:tc>
      </w:tr>
    </w:tbl>
    <w:p>
      <w:pPr>
        <w:pStyle w:val="Heading1"/>
      </w:pPr>
      <w:r>
        <w:t>3. Passo a passo</w:t>
      </w:r>
    </w:p>
    <w:p>
      <w:pPr>
        <w:pStyle w:val="ListNumber"/>
      </w:pPr>
      <w:r>
        <w:t>Cadastrar arquivos e lacunas na aba 01_Inventario; registrar página/linha e confiabilidade.</w:t>
      </w:r>
    </w:p>
    <w:p>
      <w:pPr>
        <w:pStyle w:val="ListNumber"/>
      </w:pPr>
      <w:r>
        <w:t>Recalcular a contribuição patronal e confrontar com 3.1.91.13, 3.1.2.1.2.xx.xx, 2.1.1.4.2.xx.xx, guia e banco.</w:t>
      </w:r>
    </w:p>
    <w:p>
      <w:pPr>
        <w:pStyle w:val="ListNumber"/>
      </w:pPr>
      <w:r>
        <w:t>Reconstruir retenções dos segurados: saldo inicial + ingressos – pagamentos ± ajustes = saldo final; usar a conta exatamente como constar no PCASP adotado pelo ente.</w:t>
      </w:r>
    </w:p>
    <w:p>
      <w:pPr>
        <w:pStyle w:val="ListNumber"/>
      </w:pPr>
      <w:r>
        <w:t>No RPPS, testar 1.1.3.6.2.01.01 × 4.2.1.1.2.01.01 e 1.1.3.6.2.01.02 × 4.2.1.1.1.02.xx, além da receita, do ingresso e da baixa.</w:t>
      </w:r>
    </w:p>
    <w:p>
      <w:pPr>
        <w:pStyle w:val="ListNumber"/>
      </w:pPr>
      <w:r>
        <w:t>Testar parcelamentos e encargos sem misturar principal, multas, juros e atualização.</w:t>
      </w:r>
    </w:p>
    <w:p>
      <w:pPr>
        <w:pStyle w:val="ListNumber"/>
      </w:pPr>
      <w:r>
        <w:t>Classificar cada diferença como erro, atraso, falta de documento ou inconclusiva.</w:t>
      </w:r>
    </w:p>
    <w:p>
      <w:pPr>
        <w:pStyle w:val="ListNumber"/>
      </w:pPr>
      <w:r>
        <w:t>Submeter achados a revisão e contraditório antes de elaborar a conclusão.</w:t>
      </w:r>
    </w:p>
    <w:p>
      <w:pPr>
        <w:pStyle w:val="Heading1"/>
      </w:pPr>
      <w:r>
        <w:t>4. Questões de auditoria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rPr>
          <w:tblHeader w:val="true"/>
        </w:trPr>
        <w:tc>
          <w:tcPr>
            <w:tcW w:type="dxa" w:w="648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Q</w:t>
            </w:r>
          </w:p>
        </w:tc>
        <w:tc>
          <w:tcPr>
            <w:tcW w:type="dxa" w:w="7272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Questão</w:t>
            </w:r>
          </w:p>
        </w:tc>
        <w:tc>
          <w:tcPr>
            <w:tcW w:type="dxa" w:w="1440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PT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1</w:t>
            </w:r>
          </w:p>
        </w:tc>
        <w:tc>
          <w:tcPr>
            <w:tcW w:type="dxa" w:w="727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A patronal foi reconhecida e executada por competência?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PT-01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2</w:t>
            </w:r>
          </w:p>
        </w:tc>
        <w:tc>
          <w:tcPr>
            <w:tcW w:type="dxa" w:w="727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As retenções dos segurados foram integralmente repassadas?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PT-02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3</w:t>
            </w:r>
          </w:p>
        </w:tc>
        <w:tc>
          <w:tcPr>
            <w:tcW w:type="dxa" w:w="727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Direito, VPA, receita, banco e baixa conciliam no RPPS?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PT-03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4</w:t>
            </w:r>
          </w:p>
        </w:tc>
        <w:tc>
          <w:tcPr>
            <w:tcW w:type="dxa" w:w="727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Parcelamentos e encargos estão formalizados e conciliados?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PT-04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5</w:t>
            </w:r>
          </w:p>
        </w:tc>
        <w:tc>
          <w:tcPr>
            <w:tcW w:type="dxa" w:w="727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Há diferença quantificável e evidência suficiente?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Matriz/Síntese</w:t>
            </w:r>
          </w:p>
        </w:tc>
      </w:tr>
    </w:tbl>
    <w:p>
      <w:pPr>
        <w:pStyle w:val="Heading1"/>
      </w:pPr>
      <w:r>
        <w:t>5. Estrutura do achado</w:t>
      </w:r>
    </w:p>
    <w:p>
      <w:pPr>
        <w:pStyle w:val="ListBullet"/>
      </w:pPr>
      <w:r>
        <w:t>Critério normativo e contábil.</w:t>
      </w:r>
    </w:p>
    <w:p>
      <w:pPr>
        <w:pStyle w:val="ListBullet"/>
      </w:pPr>
      <w:r>
        <w:t>Condição identificada, por competência.</w:t>
      </w:r>
    </w:p>
    <w:p>
      <w:pPr>
        <w:pStyle w:val="ListBullet"/>
      </w:pPr>
      <w:r>
        <w:t>Evidência com arquivo, página/linha, conta e cálculo.</w:t>
      </w:r>
    </w:p>
    <w:p>
      <w:pPr>
        <w:pStyle w:val="ListBullet"/>
      </w:pPr>
      <w:r>
        <w:t>Causa confirmada ou indicada como hipótese pendente.</w:t>
      </w:r>
    </w:p>
    <w:p>
      <w:pPr>
        <w:pStyle w:val="ListBullet"/>
      </w:pPr>
      <w:r>
        <w:t>Efeito/risco e valor, sem dupla contagem.</w:t>
      </w:r>
    </w:p>
    <w:p>
      <w:pPr>
        <w:pStyle w:val="ListBullet"/>
      </w:pPr>
      <w:r>
        <w:t>Recomendação proporcional e passível de monitoramento.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792"/>
            <w:shd w:fill="EAF3EF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r>
              <w:rPr>
                <w:rFonts w:ascii="Century Gothic" w:hAnsi="Century Gothic"/>
                <w:b/>
                <w:i w:val="0"/>
                <w:color w:val="064532"/>
                <w:sz w:val="20"/>
              </w:rPr>
              <w:t xml:space="preserve">Regra de decisão: </w:t>
            </w:r>
            <w:r>
              <w:rPr>
                <w:rFonts w:ascii="Century Gothic" w:hAnsi="Century Gothic"/>
                <w:b w:val="0"/>
                <w:i w:val="0"/>
                <w:color w:val="17342C"/>
                <w:sz w:val="20"/>
              </w:rPr>
              <w:t>Sem documento e sem cálculo reproduzível, a resposta é “inconclusiva”; a IA organiza e compara, mas não substitui a evidência nem a revisão do auditor.</w:t>
            </w:r>
          </w:p>
        </w:tc>
      </w:tr>
    </w:tbl>
    <w:p>
      <w:pPr>
        <w:spacing w:after="0"/>
      </w:pPr>
    </w:p>
    <w:p>
      <w:pPr>
        <w:pStyle w:val="Heading1"/>
      </w:pPr>
      <w:r>
        <w:t>Fontes oficiais de validação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MCASP — STN: </w:t>
      </w:r>
      <w:r>
        <w:rPr>
          <w:rFonts w:ascii="Century Gothic" w:hAnsi="Century Gothic"/>
          <w:b w:val="0"/>
          <w:i w:val="0"/>
          <w:color w:val="596B65"/>
          <w:sz w:val="18"/>
        </w:rPr>
        <w:t>https://www.gov.br/tesouronacional/pt-br/contabilidade-e-custos/manuais/manual-de-contabilidade-aplicada-ao-setor-publico-mcasp-1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Portaria MTP nº 1.467/2022: </w:t>
      </w:r>
      <w:r>
        <w:rPr>
          <w:rFonts w:ascii="Century Gothic" w:hAnsi="Century Gothic"/>
          <w:b w:val="0"/>
          <w:i w:val="0"/>
          <w:color w:val="596B65"/>
          <w:sz w:val="18"/>
        </w:rPr>
        <w:t>https://www.gov.br/previdencia/pt-br/assuntos/rpps/legislacao-dos-rpps/portarias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e-TCM/BA: </w:t>
      </w:r>
      <w:r>
        <w:rPr>
          <w:rFonts w:ascii="Century Gothic" w:hAnsi="Century Gothic"/>
          <w:b w:val="0"/>
          <w:i w:val="0"/>
          <w:color w:val="596B65"/>
          <w:sz w:val="18"/>
        </w:rPr>
        <w:t>https://e.tcm.ba.gov.br/epp/ConsultaPublica/listView.seam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SICONFI: </w:t>
      </w:r>
      <w:r>
        <w:rPr>
          <w:rFonts w:ascii="Century Gothic" w:hAnsi="Century Gothic"/>
          <w:b w:val="0"/>
          <w:i w:val="0"/>
          <w:color w:val="596B65"/>
          <w:sz w:val="18"/>
        </w:rPr>
        <w:t>https://siconfi.tesouro.gov.br/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152" w:left="1224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entury Gothic" w:hAnsi="Century Gothic"/>
        <w:b w:val="0"/>
        <w:i w:val="0"/>
        <w:color w:val="596B65"/>
        <w:sz w:val="16"/>
      </w:rPr>
      <w:t>Módulo 1 • Uso didático • Revisão humana obrigatória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685800" cy="399985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elos-ofici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99985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Century Gothic" w:hAnsi="Century Gothic"/>
        <w:b/>
        <w:i w:val="0"/>
        <w:color w:val="064532"/>
        <w:sz w:val="16"/>
      </w:rPr>
      <w:t xml:space="preserve">   ELOS • ACADEMIA DE AUDITORIA PÚBLICA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entury Gothic" w:hAnsi="Century Gothic"/>
      <w:color w:val="17342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entury Gothic" w:hAnsi="Century Gothic"/>
      <w:b/>
      <w:bCs/>
      <w:color w:val="0645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entury Gothic" w:hAnsi="Century Gothic"/>
      <w:b/>
      <w:bCs/>
      <w:color w:val="06453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entury Gothic" w:hAnsi="Century Gothic"/>
      <w:b/>
      <w:bCs/>
      <w:color w:val="0B5D46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entury Gothic" w:hAnsi="Century Gothic"/>
      <w:b/>
      <w:color w:val="06453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entury Gothic" w:hAnsi="Century Gothi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entury Gothic" w:hAnsi="Century Gothic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