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  <w:jc w:val="center"/>
      </w:pPr>
      <w:r>
        <w:rPr>
          <w:rFonts w:ascii="Century Gothic" w:hAnsi="Century Gothic"/>
          <w:b/>
          <w:i w:val="0"/>
          <w:color w:val="C89620"/>
          <w:sz w:val="20"/>
        </w:rPr>
        <w:t>MÓDULO 1 • CASE 3</w:t>
      </w:r>
    </w:p>
    <w:p>
      <w:pPr>
        <w:pStyle w:val="Title"/>
        <w:jc w:val="center"/>
      </w:pPr>
      <w:r>
        <w:rPr>
          <w:rFonts w:ascii="Century Gothic" w:hAnsi="Century Gothic"/>
          <w:b/>
          <w:i w:val="0"/>
          <w:color w:val="064532"/>
          <w:sz w:val="48"/>
        </w:rPr>
        <w:t>Provisão atuarial e segregação de massas</w:t>
      </w:r>
    </w:p>
    <w:p>
      <w:pPr>
        <w:jc w:val="center"/>
      </w:pPr>
      <w:r>
        <w:rPr>
          <w:rFonts w:ascii="Century Gothic" w:hAnsi="Century Gothic"/>
          <w:b w:val="0"/>
          <w:i w:val="0"/>
          <w:color w:val="596B65"/>
          <w:sz w:val="24"/>
        </w:rPr>
        <w:t>Roteiro de auditoria e execução dos papéis de trabalho</w:t>
      </w:r>
    </w:p>
    <w:p>
      <w:pPr>
        <w:spacing w:before="200"/>
        <w:jc w:val="center"/>
      </w:pPr>
      <w:r>
        <w:rPr>
          <w:rFonts w:ascii="Century Gothic" w:hAnsi="Century Gothic"/>
          <w:b/>
          <w:i w:val="0"/>
          <w:color w:val="0B5D46"/>
          <w:sz w:val="18"/>
        </w:rPr>
        <w:t>Dados didáticos anonimizados • 20 de agosto de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Escopo: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Avaliação atuarial, provisões e movimentos contábeis, segregação das massas, aportes, ativos garantidores, fluxo e sensibilidade, por fundo.</w:t>
            </w:r>
          </w:p>
        </w:tc>
      </w:tr>
    </w:tbl>
    <w:p>
      <w:pPr>
        <w:spacing w:after="0"/>
      </w:pPr>
    </w:p>
    <w:p>
      <w:pPr>
        <w:pStyle w:val="Heading1"/>
      </w:pPr>
      <w:r>
        <w:t>1. Objetivo e produtos</w:t>
      </w:r>
    </w:p>
    <w:p>
      <w:pPr>
        <w:pStyle w:val="ListBullet"/>
      </w:pPr>
      <w:r>
        <w:t>Avaliar completude, assinatura, premissas, base e método da avaliação.</w:t>
      </w:r>
    </w:p>
    <w:p>
      <w:pPr>
        <w:pStyle w:val="ListBullet"/>
      </w:pPr>
      <w:r>
        <w:t>Reconciliar avaliação × razão × BP × DVP × notas explicativas.</w:t>
      </w:r>
    </w:p>
    <w:p>
      <w:pPr>
        <w:pStyle w:val="ListBullet"/>
      </w:pPr>
      <w:r>
        <w:t>Verificar instituição e execução da segregação de massas.</w:t>
      </w:r>
    </w:p>
    <w:p>
      <w:pPr>
        <w:pStyle w:val="ListBullet"/>
      </w:pPr>
      <w:r>
        <w:t>Testar aportes e plano de equacionamento por competência.</w:t>
      </w:r>
    </w:p>
    <w:p>
      <w:pPr>
        <w:pStyle w:val="ListBullet"/>
      </w:pPr>
      <w:r>
        <w:t>Concluir sobre risco e suficiência probatória, sem equiparar automaticamente déficit atuarial a insolvência imediata.</w:t>
      </w:r>
    </w:p>
    <w:p>
      <w:pPr>
        <w:pStyle w:val="Heading1"/>
      </w:pPr>
      <w:r>
        <w:t>2. Evidências mínimas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584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Bloco</w:t>
            </w:r>
          </w:p>
        </w:tc>
        <w:tc>
          <w:tcPr>
            <w:tcW w:type="dxa" w:w="4320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Evidências</w:t>
            </w:r>
          </w:p>
        </w:tc>
        <w:tc>
          <w:tcPr>
            <w:tcW w:type="dxa" w:w="3456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Resultado esperado</w:t>
            </w:r>
          </w:p>
        </w:tc>
      </w:tr>
      <w:tr>
        <w:tc>
          <w:tcPr>
            <w:tcW w:type="dxa" w:w="15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Avaliação</w:t>
            </w:r>
          </w:p>
        </w:tc>
        <w:tc>
          <w:tcPr>
            <w:tcW w:type="dxa" w:w="43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Relatório integral, DRAA, bases, assinatura, premissas e fluxos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Teste de qualidade e limitações</w:t>
            </w:r>
          </w:p>
        </w:tc>
      </w:tr>
      <w:tr>
        <w:tc>
          <w:tcPr>
            <w:tcW w:type="dxa" w:w="15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Contabilidade</w:t>
            </w:r>
          </w:p>
        </w:tc>
        <w:tc>
          <w:tcPr>
            <w:tcW w:type="dxa" w:w="43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Razão PCASP, BP, DVP, notas e lançamentos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Ponte de saldos e movimentos por fundo</w:t>
            </w:r>
          </w:p>
        </w:tc>
      </w:tr>
      <w:tr>
        <w:tc>
          <w:tcPr>
            <w:tcW w:type="dxa" w:w="15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Segregação</w:t>
            </w:r>
          </w:p>
        </w:tc>
        <w:tc>
          <w:tcPr>
            <w:tcW w:type="dxa" w:w="43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Lei, data de corte, cadastros, folhas, contas e fontes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Matriz Capitalização × Repartição</w:t>
            </w:r>
          </w:p>
        </w:tc>
      </w:tr>
      <w:tr>
        <w:tc>
          <w:tcPr>
            <w:tcW w:type="dxa" w:w="15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Equacionamento</w:t>
            </w:r>
          </w:p>
        </w:tc>
        <w:tc>
          <w:tcPr>
            <w:tcW w:type="dxa" w:w="43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Plano, aportes, empenhos, pagamentos e banco do RPPS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Conciliação mensal e atrasos</w:t>
            </w:r>
          </w:p>
        </w:tc>
      </w:tr>
      <w:tr>
        <w:tc>
          <w:tcPr>
            <w:tcW w:type="dxa" w:w="15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Risco</w:t>
            </w:r>
          </w:p>
        </w:tc>
        <w:tc>
          <w:tcPr>
            <w:tcW w:type="dxa" w:w="43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Ativos, COMPREV, benefícios, fluxos e sensibilidade</w:t>
            </w:r>
          </w:p>
        </w:tc>
        <w:tc>
          <w:tcPr>
            <w:tcW w:type="dxa" w:w="34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Indicadores e cenários</w:t>
            </w:r>
          </w:p>
        </w:tc>
      </w:tr>
    </w:tbl>
    <w:p>
      <w:pPr>
        <w:pStyle w:val="Heading1"/>
      </w:pPr>
      <w:r>
        <w:t>3. Passo a passo</w:t>
      </w:r>
    </w:p>
    <w:p>
      <w:pPr>
        <w:pStyle w:val="ListNumber"/>
      </w:pPr>
      <w:r>
        <w:t>Inventariar a avaliação, o DRAA, as bases, os demonstrativos e a legislação vigente.</w:t>
      </w:r>
    </w:p>
    <w:p>
      <w:pPr>
        <w:pStyle w:val="ListNumber"/>
      </w:pPr>
      <w:r>
        <w:t>Validar data-base, atuário, assinatura, população coberta, método e premissas.</w:t>
      </w:r>
    </w:p>
    <w:p>
      <w:pPr>
        <w:pStyle w:val="ListNumber"/>
      </w:pPr>
      <w:r>
        <w:t>Reproduzir o resultado com os componentes divulgados e identificar limitações.</w:t>
      </w:r>
    </w:p>
    <w:p>
      <w:pPr>
        <w:pStyle w:val="ListNumber"/>
      </w:pPr>
      <w:r>
        <w:t>Reconciliar provisões e variações com razão, BP, DVP e notas, separando fundos.</w:t>
      </w:r>
    </w:p>
    <w:p>
      <w:pPr>
        <w:pStyle w:val="ListNumber"/>
      </w:pPr>
      <w:r>
        <w:t>Verificar a data de corte e a correta alocação de segurados e beneficiários às massas.</w:t>
      </w:r>
    </w:p>
    <w:p>
      <w:pPr>
        <w:pStyle w:val="ListNumber"/>
      </w:pPr>
      <w:r>
        <w:t>Confrontar aportes/plano de amortização com execução e ingresso bancário.</w:t>
      </w:r>
    </w:p>
    <w:p>
      <w:pPr>
        <w:pStyle w:val="ListNumber"/>
      </w:pPr>
      <w:r>
        <w:t>Analisar cobertura, liquidez, fluxo e sensibilidade; registrar o que é risco e o que é não conformidade comprovada.</w:t>
      </w:r>
    </w:p>
    <w:p>
      <w:pPr>
        <w:pStyle w:val="ListNumber"/>
      </w:pPr>
      <w:r>
        <w:t>Revisar os achados e considerar o contraditório antes da conclusão.</w:t>
      </w:r>
    </w:p>
    <w:p>
      <w:pPr>
        <w:pStyle w:val="Heading1"/>
      </w:pPr>
      <w:r>
        <w:t>4. Questões de auditoria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648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Q</w:t>
            </w:r>
          </w:p>
        </w:tc>
        <w:tc>
          <w:tcPr>
            <w:tcW w:type="dxa" w:w="7272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Questão</w:t>
            </w:r>
          </w:p>
        </w:tc>
        <w:tc>
          <w:tcPr>
            <w:tcW w:type="dxa" w:w="1440"/>
            <w:shd w:fill="0B5D4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entury Gothic" w:hAnsi="Century Gothic"/>
                <w:b/>
                <w:i w:val="0"/>
                <w:color w:val="FFFFFF"/>
                <w:sz w:val="17"/>
              </w:rPr>
              <w:t>PT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1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 avaliação é completa, assinada e reproduzível?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PT-01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2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As provisões conciliam com PCASP, BP, DVP e notas?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PT-02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3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 segregação das massas foi instituída e executada corretamente?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PT-03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4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Os aportes e o plano de equacionamento foram cumpridos?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PT-04</w:t>
            </w:r>
          </w:p>
        </w:tc>
      </w:tr>
      <w:tr>
        <w:tc>
          <w:tcPr>
            <w:tcW w:type="dxa" w:w="64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5</w:t>
            </w:r>
          </w:p>
        </w:tc>
        <w:tc>
          <w:tcPr>
            <w:tcW w:type="dxa" w:w="727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Ativos e fluxos suportam a avaliação de risco?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rFonts w:ascii="Century Gothic" w:hAnsi="Century Gothic"/>
                <w:b w:val="0"/>
                <w:i w:val="0"/>
                <w:color w:val="17342C"/>
                <w:sz w:val="17"/>
              </w:rPr>
              <w:t>PT-05</w:t>
            </w:r>
          </w:p>
        </w:tc>
      </w:tr>
    </w:tbl>
    <w:p>
      <w:pPr>
        <w:pStyle w:val="Heading1"/>
      </w:pPr>
      <w:r>
        <w:t>5. Cuidados de interpretação</w:t>
      </w:r>
    </w:p>
    <w:p>
      <w:pPr>
        <w:pStyle w:val="ListBullet"/>
      </w:pPr>
      <w:r>
        <w:t>Separar déficit atuarial, déficit financeiro e insuficiência documental.</w:t>
      </w:r>
    </w:p>
    <w:p>
      <w:pPr>
        <w:pStyle w:val="ListBullet"/>
      </w:pPr>
      <w:r>
        <w:t>Separar Fundo em Capitalização, Fundo em Repartição e Taxa de Administração.</w:t>
      </w:r>
    </w:p>
    <w:p>
      <w:pPr>
        <w:pStyle w:val="ListBullet"/>
      </w:pPr>
      <w:r>
        <w:t>Não recalcular obrigações sem conhecer premissas e método.</w:t>
      </w:r>
    </w:p>
    <w:p>
      <w:pPr>
        <w:pStyle w:val="ListBullet"/>
      </w:pPr>
      <w:r>
        <w:t>Não compensar diferenças entre fundos ou massas sem base normativa.</w:t>
      </w:r>
    </w:p>
    <w:p>
      <w:pPr>
        <w:pStyle w:val="ListBullet"/>
      </w:pPr>
      <w:r>
        <w:t>Citar incertezas e análises de sensibilidade.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Regra de decisão: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A conclusão deve distinguir erro contábil, descumprimento do plano, risco atuarial e limitação de evidência. Nenhuma dessas categorias é presumida pela IA.</w:t>
            </w:r>
          </w:p>
        </w:tc>
      </w:tr>
    </w:tbl>
    <w:p>
      <w:pPr>
        <w:spacing w:after="0"/>
      </w:pPr>
    </w:p>
    <w:p>
      <w:pPr>
        <w:pStyle w:val="Heading1"/>
      </w:pPr>
      <w:r>
        <w:t>Fontes oficiais de validação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MCASP — STN: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https://www.gov.br/tesouronacional/pt-br/contabilidade-e-custos/manuais/manual-de-contabilidade-aplicada-ao-setor-publico-mcasp-1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Portaria MTP nº 1.467/2022: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https://www.gov.br/previdencia/pt-br/assuntos/rpps/legislacao-dos-rpps/portarias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e-TCM/BA: </w:t>
      </w:r>
      <w:r>
        <w:rPr>
          <w:rFonts w:ascii="Century Gothic" w:hAnsi="Century Gothic"/>
          <w:b w:val="0"/>
          <w:i w:val="0"/>
          <w:color w:val="596B65"/>
          <w:sz w:val="18"/>
        </w:rPr>
        <w:t>https://e.tcm.ba.gov.br/epp/ConsultaPublica/listView.seam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SICONFI: </w:t>
      </w:r>
      <w:r>
        <w:rPr>
          <w:rFonts w:ascii="Century Gothic" w:hAnsi="Century Gothic"/>
          <w:b w:val="0"/>
          <w:i w:val="0"/>
          <w:color w:val="596B65"/>
          <w:sz w:val="18"/>
        </w:rPr>
        <w:t>https://siconfi.tesouro.gov.br/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entury Gothic" w:hAnsi="Century Gothic"/>
        <w:b w:val="0"/>
        <w:i w:val="0"/>
        <w:color w:val="596B65"/>
        <w:sz w:val="16"/>
      </w:rPr>
      <w:t>Módulo 1 • Uso didático • Revisão humana obrigatória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685800" cy="39998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elos-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99985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i w:val="0"/>
        <w:color w:val="064532"/>
        <w:sz w:val="16"/>
      </w:rPr>
      <w:t xml:space="preserve">   ELOS • ACADEMIA DE AUDITORIA PÚBLICA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entury Gothic" w:hAnsi="Century Gothic"/>
      <w:color w:val="1734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entury Gothic" w:hAnsi="Century Gothic"/>
      <w:b/>
      <w:bCs/>
      <w:color w:val="0B5D4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entury Gothic" w:hAnsi="Century Gothic"/>
      <w:b/>
      <w:color w:val="06453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