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331720" cy="13599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elos-ofici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1359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  <w:jc w:val="center"/>
      </w:pPr>
      <w:r>
        <w:t>JORNADA DE AUDITORIA PÚBLICA</w:t>
      </w:r>
    </w:p>
    <w:p>
      <w:pPr>
        <w:pStyle w:val="Title"/>
        <w:jc w:val="center"/>
      </w:pPr>
      <w:r>
        <w:t>Módulo 06</w:t>
      </w:r>
    </w:p>
    <w:p>
      <w:pPr>
        <w:jc w:val="center"/>
      </w:pPr>
      <w:r>
        <w:rPr>
          <w:rFonts w:ascii="Arial" w:hAnsi="Arial"/>
          <w:b/>
          <w:color w:val="0B6048"/>
          <w:sz w:val="36"/>
        </w:rPr>
        <w:t>Alterações Orçamentárias e Créditos Adicionais</w:t>
      </w:r>
    </w:p>
    <w:p>
      <w:pPr>
        <w:jc w:val="center"/>
      </w:pPr>
      <w:r>
        <w:rPr>
          <w:color w:val="667085"/>
          <w:sz w:val="22"/>
        </w:rPr>
        <w:t>Definições, espécies, recursos para abertura, atividades e limite por anulação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FINALIDADE DO MATERIAL</w:t>
            </w:r>
          </w:p>
        </w:tc>
      </w:tr>
      <w:t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Apoiar os contadores e técnicos do CEAT na classificação dos créditos adicionais, na verificação dos recursos para abertura, na reconstrução do limite autorizado por anulação e na elaboração de resposta tecnicamente verificável. O material é formativo e não substitui a leitura da LOA, da LDO, das leis específicas, dos decretos, do Diário Oficial e dos registros contábeis do caso concreto.</w:t>
            </w:r>
          </w:p>
        </w:tc>
      </w:tr>
    </w:tbl>
    <w:p>
      <w:pPr>
        <w:spacing w:after="0"/>
      </w:pPr>
    </w:p>
    <w:p/>
    <w:p>
      <w:pPr>
        <w:jc w:val="center"/>
      </w:pPr>
      <w:r>
        <w:rPr>
          <w:color w:val="667085"/>
          <w:sz w:val="18"/>
        </w:rPr>
        <w:t>Versão 2.0 · atualização R14 · 19 de setembro de 2026</w:t>
      </w:r>
    </w:p>
    <w:p>
      <w:r>
        <w:br w:type="page"/>
      </w:r>
    </w:p>
    <w:p>
      <w:pPr>
        <w:pStyle w:val="Heading1"/>
      </w:pPr>
      <w:r>
        <w:t>1. Definições e síntese executiva</w:t>
      </w:r>
    </w:p>
    <w:p>
      <w:r>
        <w:t>A análise começa pela espécie do crédito e pelo recurso para abertura. Somente depois se examinam o ato, a vigência, o limite, a Fonte/Destinação e a contabilização. A nomenclatura usada no decreto não substitui a verificação da substância.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259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Conceito</w:t>
            </w:r>
          </w:p>
        </w:tc>
        <w:tc>
          <w:tcPr>
            <w:tcW w:type="dxa" w:w="756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Aplicação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Crédito orçamentário</w:t>
            </w:r>
          </w:p>
        </w:tc>
        <w:tc>
          <w:tcPr>
            <w:tcW w:type="dxa" w:w="75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Autorização constante da LOA para executar determinada programação de despesa.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Dotação</w:t>
            </w:r>
          </w:p>
        </w:tc>
        <w:tc>
          <w:tcPr>
            <w:tcW w:type="dxa" w:w="75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Valor atribuído ao crédito para um objeto de gasto, no nível de detalhamento aprovado.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Crédito adicional</w:t>
            </w:r>
          </w:p>
        </w:tc>
        <w:tc>
          <w:tcPr>
            <w:tcW w:type="dxa" w:w="75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Autorização de despesa não computada ou insuficientemente dotada na LOA.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Abertura</w:t>
            </w:r>
          </w:p>
        </w:tc>
        <w:tc>
          <w:tcPr>
            <w:tcW w:type="dxa" w:w="75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Ato que torna o crédito utilizável, observado o regime jurídico de cada espécie.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Recurso para abertura</w:t>
            </w:r>
          </w:p>
        </w:tc>
        <w:tc>
          <w:tcPr>
            <w:tcW w:type="dxa" w:w="75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Disponibilidade jurídica e financeira indicada no art. 43 da Lei nº 4.320/1964; não se confunde com o código de Fonte/Destinação.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Fonte/Destinação</w:t>
            </w:r>
          </w:p>
        </w:tc>
        <w:tc>
          <w:tcPr>
            <w:tcW w:type="dxa" w:w="756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Atributo contábil que identifica origem e vinculação do recurso; deve ser conciliado, mas não substitui a demonstração do art. 43.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REGRA OPERACIONAL DO LIMITE POR ANULAÇÃO</w:t>
            </w:r>
          </w:p>
        </w:tc>
      </w:tr>
      <w:tr>
        <w:tc>
          <w:tcPr>
            <w:tcW w:type="dxa" w:w="10282"/>
            <w:shd w:fill="EAF4F1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Consumo acumulado do limite genérico = soma das parcelas por anulação dos créditos suplementares que utilizam a autorização genérica da LOA. A dotação cancelada sustenta a abertura; ela não deve ser subtraída novamente do consumo. Outros recursos permanecem fora desse subtotal, mas seguem sujeitos aos respectivos requisitos.</w:t>
            </w:r>
          </w:p>
        </w:tc>
      </w:tr>
    </w:tbl>
    <w:p>
      <w:pPr>
        <w:spacing w:after="0"/>
      </w:pPr>
    </w:p>
    <w:p>
      <w:pPr>
        <w:pStyle w:val="Heading2"/>
      </w:pPr>
      <w:r>
        <w:t>Resultados esperados</w:t>
      </w:r>
    </w:p>
    <w:p>
      <w:pPr>
        <w:pStyle w:val="ListBullet"/>
        <w:spacing w:after="40"/>
      </w:pPr>
      <w:r>
        <w:t>classificação fundamentada como suplementar, especial ou extraordinário;</w:t>
      </w:r>
    </w:p>
    <w:p>
      <w:pPr>
        <w:pStyle w:val="ListBullet"/>
        <w:spacing w:after="40"/>
      </w:pPr>
      <w:r>
        <w:t>memória de cálculo própria para cada recurso de abertura;</w:t>
      </w:r>
    </w:p>
    <w:p>
      <w:pPr>
        <w:pStyle w:val="ListBullet"/>
        <w:spacing w:after="40"/>
      </w:pPr>
      <w:r>
        <w:t>segregação de atos com recursos mistos e conciliação por Fonte/Destinação;</w:t>
      </w:r>
    </w:p>
    <w:p>
      <w:pPr>
        <w:pStyle w:val="ListBullet"/>
        <w:spacing w:after="40"/>
      </w:pPr>
      <w:r>
        <w:t>linha do tempo do limite por anulação e identificação do primeiro excesso;</w:t>
      </w:r>
    </w:p>
    <w:p>
      <w:pPr>
        <w:pStyle w:val="ListBullet"/>
        <w:spacing w:after="40"/>
      </w:pPr>
      <w:r>
        <w:t>tratamento separado de reserva, convênio, reabertura, QDD e realocações;</w:t>
      </w:r>
    </w:p>
    <w:p>
      <w:pPr>
        <w:pStyle w:val="ListBullet"/>
        <w:spacing w:after="40"/>
      </w:pPr>
      <w:r>
        <w:t>resposta com fato, critério, cálculo, limitação, diligência e revisão humana.</w:t>
      </w:r>
    </w:p>
    <w:p>
      <w:pPr>
        <w:pStyle w:val="Heading2"/>
      </w:pPr>
      <w:r>
        <w:t>Limitação da pesquisa pública</w:t>
      </w:r>
    </w:p>
    <w:p>
      <w:r>
        <w:t>Os cases deste guia foram extraídos de notícias, decisões, pareceres e votos oficiais publicamente acessíveis do TCM-BA. Notificações individualizadas, expedientes internos ou documentos sob restrição não foram presumidos como disponíveis. A aplicação a processo específico depende dos documentos juntados ao procedimento e do contraditório.</w:t>
      </w:r>
    </w:p>
    <w:p>
      <w:r>
        <w:br w:type="page"/>
      </w:r>
    </w:p>
    <w:p>
      <w:pPr>
        <w:pStyle w:val="Heading1"/>
      </w:pPr>
      <w:r>
        <w:t>2. Base normativa mínima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288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Critério</w:t>
            </w:r>
          </w:p>
        </w:tc>
        <w:tc>
          <w:tcPr>
            <w:tcW w:type="dxa" w:w="72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Aplicação no teste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CF, art. 165, § 8º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 LOA pode conter autorização para abertura de créditos suplementares, além da previsão da receita e fixação da despesa.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CF, art. 167, V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 abertura de crédito suplementar ou especial exige autorização legislativa e indicação dos recursos correspondentes.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CF, art. 167, VI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Transposição, remanejamento ou transferência entre categorias de programação ou órgãos dependem de autorização legislativa.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CF, art. 166, § 8º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Recursos sem despesas correspondentes por veto, emenda ou rejeição podem ser usados mediante prévia e específica autorização legislativa.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CF, art. 167, VII e §§ 2º–3º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Veda créditos ilimitados, disciplina a reabertura e restringe o extraordinário a despesa imprevisível e urgente.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Lei nº 4.320/1964, arts. 40 a 46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Define créditos adicionais, espécies, autorização, abertura, recursos e vigência; o art. 43, § 1º, III, trata da anulação total ou parcial.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LRF, arts. 5º, III e § 4º; 8º, par. único; 9º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Disciplina reserva de contingência, precisão do crédito, vinculação dos recursos e equilíbrio fiscal.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Legislação local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LOA, leis supervenientes, LDO e normas sobre QDD definem base, percentual, exceções e vigência aplicáveis ao ente.</w:t>
            </w:r>
          </w:p>
        </w:tc>
      </w:tr>
    </w:tbl>
    <w:p>
      <w:pPr>
        <w:spacing w:after="0"/>
      </w:pPr>
    </w:p>
    <w:p>
      <w:hyperlink r:id="rId12">
        <w:r>
          <w:rPr>
            <w:color w:val="0F766E"/>
            <w:u w:val="single"/>
          </w:rPr>
          <w:t>Constituição Federal</w:t>
        </w:r>
      </w:hyperlink>
      <w:r>
        <w:t xml:space="preserve">  ·  </w:t>
      </w:r>
      <w:hyperlink r:id="rId13">
        <w:r>
          <w:rPr>
            <w:color w:val="0F766E"/>
            <w:u w:val="single"/>
          </w:rPr>
          <w:t>Lei nº 4.320/1964</w:t>
        </w:r>
      </w:hyperlink>
      <w:r>
        <w:t xml:space="preserve">  ·  </w:t>
      </w:r>
      <w:hyperlink r:id="rId14">
        <w:r>
          <w:rPr>
            <w:color w:val="0F766E"/>
            <w:u w:val="single"/>
          </w:rPr>
          <w:t>Lei de Responsabilidade Fiscal</w:t>
        </w:r>
      </w:hyperlink>
    </w:p>
    <w:p>
      <w:r>
        <w:br w:type="page"/>
      </w:r>
    </w:p>
    <w:p>
      <w:pPr>
        <w:pStyle w:val="Heading1"/>
      </w:pPr>
      <w:r>
        <w:t>3. Tipos de créditos adicionais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56"/>
        <w:gridCol w:w="2056"/>
        <w:gridCol w:w="2056"/>
        <w:gridCol w:w="2056"/>
        <w:gridCol w:w="2056"/>
      </w:tblGrid>
      <w:tr>
        <w:trPr>
          <w:tblHeader w:val="true"/>
          <w:cantSplit/>
        </w:trPr>
        <w:tc>
          <w:tcPr>
            <w:tcW w:type="dxa" w:w="144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Espécie</w:t>
            </w:r>
          </w:p>
        </w:tc>
        <w:tc>
          <w:tcPr>
            <w:tcW w:type="dxa" w:w="223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Quando usar</w:t>
            </w:r>
          </w:p>
        </w:tc>
        <w:tc>
          <w:tcPr>
            <w:tcW w:type="dxa" w:w="266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Autorização e abertura</w:t>
            </w:r>
          </w:p>
        </w:tc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Recurso</w:t>
            </w:r>
          </w:p>
        </w:tc>
        <w:tc>
          <w:tcPr>
            <w:tcW w:type="dxa" w:w="237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Vigência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Suplementar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Reforço de dotação específica já existente e insuficiente.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Autorização legislativa; pode constar da própria LOA. Abertura por decreto do Executivo.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Recurso disponível e justificativa, nos termos do art. 43.</w:t>
            </w:r>
          </w:p>
        </w:tc>
        <w:tc>
          <w:tcPr>
            <w:tcW w:type="dxa" w:w="23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Vigora no exercício da abertura.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Especial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Despesa para a qual não exista dotação orçamentária específica.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Autorização legislativa específica e abertura por decreto do Executivo.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Recurso disponível e justificativa, nos termos do art. 43.</w:t>
            </w:r>
          </w:p>
        </w:tc>
        <w:tc>
          <w:tcPr>
            <w:tcW w:type="dxa" w:w="23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Pode ser reaberto no exercício seguinte, pelo saldo, se autorizado nos últimos quatro meses.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Extraordinário</w:t>
            </w:r>
          </w:p>
        </w:tc>
        <w:tc>
          <w:tcPr>
            <w:tcW w:type="dxa" w:w="22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Despesa imprevisível e urgente, como guerra, comoção interna ou calamidade pública.</w:t>
            </w:r>
          </w:p>
        </w:tc>
        <w:tc>
          <w:tcPr>
            <w:tcW w:type="dxa" w:w="26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Ato próprio do Executivo e conhecimento imediato ao Legislativo, conforme o regime constitucional.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Não aplicar mecanicamente a exigência do art. 43 como nos suplementares e especiais; demonstrar os efeitos fiscais.</w:t>
            </w:r>
          </w:p>
        </w:tc>
        <w:tc>
          <w:tcPr>
            <w:tcW w:type="dxa" w:w="23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Pode ser reaberto no exercício seguinte, pelo saldo, se aberto nos últimos quatro meses.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DECISÃO INICIAL</w:t>
            </w:r>
          </w:p>
        </w:tc>
      </w:tr>
      <w:tr>
        <w:tc>
          <w:tcPr>
            <w:tcW w:type="dxa" w:w="10282"/>
            <w:shd w:fill="E8F0F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Pergunte primeiro: a dotação específica existia? Se sim e era insuficiente, o crédito tende a ser suplementar. Se não existia, tende a ser especial. Se a despesa decorre de evento imprevisível e urgente nas hipóteses constitucionais, examine o extraordinário. A finalidade e a classificação orçamentária devem confirmar a resposta.</w:t>
            </w:r>
          </w:p>
        </w:tc>
      </w:tr>
    </w:tbl>
    <w:p>
      <w:pPr>
        <w:spacing w:after="0"/>
      </w:pPr>
    </w:p>
    <w:p>
      <w:pPr>
        <w:pStyle w:val="Heading2"/>
      </w:pPr>
      <w:r>
        <w:t>Atividades por espécie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56"/>
        <w:gridCol w:w="2056"/>
        <w:gridCol w:w="2056"/>
        <w:gridCol w:w="2056"/>
        <w:gridCol w:w="2056"/>
      </w:tblGrid>
      <w:tr>
        <w:trPr>
          <w:tblHeader w:val="true"/>
          <w:cantSplit/>
        </w:trPr>
        <w:tc>
          <w:tcPr>
            <w:tcW w:type="dxa" w:w="79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Código</w:t>
            </w:r>
          </w:p>
        </w:tc>
        <w:tc>
          <w:tcPr>
            <w:tcW w:type="dxa" w:w="13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Espécie</w:t>
            </w:r>
          </w:p>
        </w:tc>
        <w:tc>
          <w:tcPr>
            <w:tcW w:type="dxa" w:w="237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Caso</w:t>
            </w:r>
          </w:p>
        </w:tc>
        <w:tc>
          <w:tcPr>
            <w:tcW w:type="dxa" w:w="352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Procedimento</w:t>
            </w:r>
          </w:p>
        </w:tc>
        <w:tc>
          <w:tcPr>
            <w:tcW w:type="dxa" w:w="273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Resultado de referência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T-01</w:t>
            </w:r>
          </w:p>
        </w:tc>
        <w:tc>
          <w:tcPr>
            <w:tcW w:type="dxa" w:w="13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Suplementar</w:t>
            </w:r>
          </w:p>
        </w:tc>
        <w:tc>
          <w:tcPr>
            <w:tcW w:type="dxa" w:w="23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Dotação escolar de R$ 2,0 mi; necessidade de R$ 2,8 mi.</w:t>
            </w:r>
          </w:p>
        </w:tc>
        <w:tc>
          <w:tcPr>
            <w:tcW w:type="dxa" w:w="352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Comprovar dotação existente; calcular insuficiência; testar anulação e limite; conciliar o ato.</w:t>
            </w:r>
          </w:p>
        </w:tc>
        <w:tc>
          <w:tcPr>
            <w:tcW w:type="dxa" w:w="27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Reforço de R$ 800 mil, condicionado à suficiência da anulação e à margem na LOA.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T-02</w:t>
            </w:r>
          </w:p>
        </w:tc>
        <w:tc>
          <w:tcPr>
            <w:tcW w:type="dxa" w:w="13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Especial</w:t>
            </w:r>
          </w:p>
        </w:tc>
        <w:tc>
          <w:tcPr>
            <w:tcW w:type="dxa" w:w="23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Programa novo de defesa civil de R$ 1,2 mi, ausente da LOA.</w:t>
            </w:r>
          </w:p>
        </w:tc>
        <w:tc>
          <w:tcPr>
            <w:tcW w:type="dxa" w:w="352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Provar inexistência; obter lei específica; recalcular superávit; conferir classificação e abertura.</w:t>
            </w:r>
          </w:p>
        </w:tc>
        <w:tc>
          <w:tcPr>
            <w:tcW w:type="dxa" w:w="27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Crédito especial; autorização genérica da LOA não basta.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T-03</w:t>
            </w:r>
          </w:p>
        </w:tc>
        <w:tc>
          <w:tcPr>
            <w:tcW w:type="dxa" w:w="13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Extraordinário</w:t>
            </w:r>
          </w:p>
        </w:tc>
        <w:tc>
          <w:tcPr>
            <w:tcW w:type="dxa" w:w="23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Enchente abrupta; R$ 2,5 mi para abrigo e resposta emergencial.</w:t>
            </w:r>
          </w:p>
        </w:tc>
        <w:tc>
          <w:tcPr>
            <w:tcW w:type="dxa" w:w="352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Testar urgência, imprevisibilidade e nexo; validar ato, comunicação e despesas vinculadas.</w:t>
            </w:r>
          </w:p>
        </w:tc>
        <w:tc>
          <w:tcPr>
            <w:tcW w:type="dxa" w:w="27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Somente a parcela causalmente ligada à emergência se enquadra.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4. Recursos para abertura e situações correlatas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56"/>
        <w:gridCol w:w="2056"/>
        <w:gridCol w:w="2056"/>
        <w:gridCol w:w="2056"/>
        <w:gridCol w:w="2056"/>
      </w:tblGrid>
      <w:tr>
        <w:trPr>
          <w:tblHeader w:val="true"/>
          <w:cantSplit/>
        </w:trPr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Item</w:t>
            </w:r>
          </w:p>
        </w:tc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Base</w:t>
            </w:r>
          </w:p>
        </w:tc>
        <w:tc>
          <w:tcPr>
            <w:tcW w:type="dxa" w:w="288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Tratamento</w:t>
            </w:r>
          </w:p>
        </w:tc>
        <w:tc>
          <w:tcPr>
            <w:tcW w:type="dxa" w:w="338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Evidência mínima</w:t>
            </w:r>
          </w:p>
        </w:tc>
        <w:tc>
          <w:tcPr>
            <w:tcW w:type="dxa" w:w="72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Ativ.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Anulação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Art. 43, § 1º, III</w:t>
            </w:r>
          </w:p>
        </w:tc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Cancelamento total ou parcial de dotação ou crédito.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Saldo, ato, justificativa e efeito sobre a ação cancelada.</w:t>
            </w:r>
          </w:p>
        </w:tc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F-01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Excesso de arrecadação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Art. 43, § 1º, II e §§ 3º–4º</w:t>
            </w:r>
          </w:p>
        </w:tc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Diferença positiva acumulada, considerando a tendência e a dedução legal.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Previsão × realização mensal, tendência e extraordinários.</w:t>
            </w:r>
          </w:p>
        </w:tc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F-02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Superávit financeiro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Art. 43, § 1º, I e § 2º</w:t>
            </w:r>
          </w:p>
        </w:tc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Diferença positiva do balanço anterior, ajustada na forma legal.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Ativo/passivo financeiros, saldos transferidos, operações vinculadas e destinação.</w:t>
            </w:r>
          </w:p>
        </w:tc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F-03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Operação de crédito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Art. 43, § 1º, IV</w:t>
            </w:r>
          </w:p>
        </w:tc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Produto de operação autorizada e juridicamente possível.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Contrato, cronograma de ingresso, finalidade e limites fiscais.</w:t>
            </w:r>
          </w:p>
        </w:tc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F-04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Reserva de contingência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LRF, art. 5º, III; art. 43, § 1º, III</w:t>
            </w:r>
          </w:p>
        </w:tc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Não é recurso autônomo: a abertura ocorre por anulação da dotação.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LDO, riscos fiscais, motivação e cobertura remanescente.</w:t>
            </w:r>
          </w:p>
        </w:tc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F-05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Veto/emenda/rejeição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CF, art. 166, § 8º</w:t>
            </w:r>
          </w:p>
        </w:tc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Recurso sem despesa correspondente, com prévia e específica autorização legislativa.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Origem, disponibilidade e autorização específica.</w:t>
            </w:r>
          </w:p>
        </w:tc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F-06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Transferência/convênio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Classificar no art. 43 conforme o caso</w:t>
            </w:r>
          </w:p>
        </w:tc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Não é categoria autônoma: pode gerar excesso corrente, superávit anterior ou exigir anulação.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Previsão, exercício do ingresso, extrato, instrumento e vinculação.</w:t>
            </w:r>
          </w:p>
        </w:tc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F-07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Recursos mistos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Aplicação combinada</w:t>
            </w:r>
          </w:p>
        </w:tc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Cada parcela conserva sua natureza e seu teste.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Soma das parcelas = valor bruto; rastreabilidade por Fonte/Destinação.</w:t>
            </w:r>
          </w:p>
        </w:tc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F-08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Reabertura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CF, art. 167, § 2º</w:t>
            </w:r>
          </w:p>
        </w:tc>
        <w:tc>
          <w:tcPr>
            <w:tcW w:type="dxa" w:w="288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Não é novo recurso; continuidade do saldo de especial/extraordinário.</w:t>
            </w:r>
          </w:p>
        </w:tc>
        <w:tc>
          <w:tcPr>
            <w:tcW w:type="dxa" w:w="338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Data original, saldo não utilizado e ato de reabertura.</w:t>
            </w:r>
          </w:p>
        </w:tc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C-01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TRÊS DISTINÇÕES OBRIGATÓRIAS</w:t>
            </w:r>
          </w:p>
        </w:tc>
      </w:tr>
      <w:tr>
        <w:tc>
          <w:tcPr>
            <w:tcW w:type="dxa" w:w="10282"/>
            <w:shd w:fill="FDECE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Reserva de contingência deve ser tratada como anulação; convênio ou transferência deve ser enquadrado conforme o momento do ingresso e a previsão; reabertura apenas transporta o saldo elegível de crédito especial ou extraordinário. Nenhum dos três deve ser lançado automaticamente como “outra fonte”.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5. Atividades por recurso — parte 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4"/>
        <w:gridCol w:w="1714"/>
        <w:gridCol w:w="1714"/>
        <w:gridCol w:w="1714"/>
        <w:gridCol w:w="1714"/>
        <w:gridCol w:w="1714"/>
      </w:tblGrid>
      <w:tr>
        <w:trPr>
          <w:tblHeader w:val="true"/>
          <w:cantSplit/>
        </w:trPr>
        <w:tc>
          <w:tcPr>
            <w:tcW w:type="dxa" w:w="72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Cód.</w:t>
            </w:r>
          </w:p>
        </w:tc>
        <w:tc>
          <w:tcPr>
            <w:tcW w:type="dxa" w:w="151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Recurso</w:t>
            </w:r>
          </w:p>
        </w:tc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Caso</w:t>
            </w:r>
          </w:p>
        </w:tc>
        <w:tc>
          <w:tcPr>
            <w:tcW w:type="dxa" w:w="194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Evidência</w:t>
            </w:r>
          </w:p>
        </w:tc>
        <w:tc>
          <w:tcPr>
            <w:tcW w:type="dxa" w:w="280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Procedimento</w:t>
            </w:r>
          </w:p>
        </w:tc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Referência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3"/>
              </w:rPr>
              <w:t>F-01</w:t>
            </w:r>
          </w:p>
        </w:tc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Anulação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Crédito de R$ 6 mi com anulações de R$ 5,2 mi.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Decreto, QDD, razão, saldo e justificativa.</w:t>
            </w:r>
          </w:p>
        </w:tc>
        <w:tc>
          <w:tcPr>
            <w:tcW w:type="dxa" w:w="28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Somar anulações válidas; testar saldos; conciliar abertura; avaliar ação cancelada.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Insuficiência de R$ 800 mil, salvo outro recurso válido.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3"/>
              </w:rPr>
              <w:t>F-02</w:t>
            </w:r>
          </w:p>
        </w:tc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Excesso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Diferença acumulada R$ 3,4 mi; tendência +R$ 0,6 mi; extraordinários R$ 0,5 mi.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Previsão/realização mensal, RREO, memória da tendência e atos.</w:t>
            </w:r>
          </w:p>
        </w:tc>
        <w:tc>
          <w:tcPr>
            <w:tcW w:type="dxa" w:w="28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Reproduzir série; validar tendência; deduzir extraordinários; preservar vinculação.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Excesso líquido de referência: R$ 3,5 mi.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3"/>
              </w:rPr>
              <w:t>F-03</w:t>
            </w:r>
          </w:p>
        </w:tc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Superávit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AF R$ 12 mi; PF R$ 8 mi; créditos transferidos R$ 0,8 mi; operações vinculadas R$ 0,2 mi.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Balanço, bancos, RP, créditos transferidos e destinação.</w:t>
            </w:r>
          </w:p>
        </w:tc>
        <w:tc>
          <w:tcPr>
            <w:tcW w:type="dxa" w:w="28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Aplicar AF − PF − créditos transferidos + operações vinculadas; segregar destinação.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Superávit de referência: R$ 3,4 mi.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3"/>
              </w:rPr>
              <w:t>F-04</w:t>
            </w:r>
          </w:p>
        </w:tc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Operação de crédito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Contrato de R$ 10 mi; desembolso previsto no exercício de R$ 6 mi.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Lei, contrato, cronograma, condições e ingresso.</w:t>
            </w:r>
          </w:p>
        </w:tc>
        <w:tc>
          <w:tcPr>
            <w:tcW w:type="dxa" w:w="28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Confirmar possibilidade, disponibilidade, finalidade e limites; não usar parcela não demonstrada.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Suporte de referência no exercício: R$ 6 mi.</w:t>
            </w:r>
          </w:p>
        </w:tc>
      </w:tr>
    </w:tbl>
    <w:p>
      <w:pPr>
        <w:spacing w:after="0"/>
      </w:pPr>
    </w:p>
    <w:p>
      <w:pPr>
        <w:pStyle w:val="Heading2"/>
      </w:pPr>
      <w:r>
        <w:t>Produto obrigatório de cada atividade</w:t>
      </w:r>
    </w:p>
    <w:p>
      <w:pPr>
        <w:pStyle w:val="ListBullet"/>
        <w:spacing w:after="40"/>
      </w:pPr>
      <w:r>
        <w:t>folha de cálculo reproduzível;</w:t>
      </w:r>
    </w:p>
    <w:p>
      <w:pPr>
        <w:pStyle w:val="ListBullet"/>
        <w:spacing w:after="40"/>
      </w:pPr>
      <w:r>
        <w:t>relação de evidências com arquivo e página/linha;</w:t>
      </w:r>
    </w:p>
    <w:p>
      <w:pPr>
        <w:pStyle w:val="ListBullet"/>
        <w:spacing w:after="40"/>
      </w:pPr>
      <w:r>
        <w:t>conclusão individual: conforme, conforme com ressalvas, não conforme ou inconclusiva;</w:t>
      </w:r>
    </w:p>
    <w:p>
      <w:pPr>
        <w:pStyle w:val="ListBullet"/>
        <w:spacing w:after="40"/>
      </w:pPr>
      <w:r>
        <w:t>diligência objetiva quando faltar autorização, saldo, publicação ou conciliação.</w:t>
      </w:r>
    </w:p>
    <w:p>
      <w:r>
        <w:br w:type="page"/>
      </w:r>
    </w:p>
    <w:p>
      <w:pPr>
        <w:pStyle w:val="Heading1"/>
      </w:pPr>
      <w:r>
        <w:t>5. Atividades por recurso — parte II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4"/>
        <w:gridCol w:w="1714"/>
        <w:gridCol w:w="1714"/>
        <w:gridCol w:w="1714"/>
        <w:gridCol w:w="1714"/>
        <w:gridCol w:w="1714"/>
      </w:tblGrid>
      <w:tr>
        <w:trPr>
          <w:tblHeader w:val="true"/>
          <w:cantSplit/>
        </w:trPr>
        <w:tc>
          <w:tcPr>
            <w:tcW w:type="dxa" w:w="72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Cód.</w:t>
            </w:r>
          </w:p>
        </w:tc>
        <w:tc>
          <w:tcPr>
            <w:tcW w:type="dxa" w:w="151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Recurso</w:t>
            </w:r>
          </w:p>
        </w:tc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Caso</w:t>
            </w:r>
          </w:p>
        </w:tc>
        <w:tc>
          <w:tcPr>
            <w:tcW w:type="dxa" w:w="194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Evidência</w:t>
            </w:r>
          </w:p>
        </w:tc>
        <w:tc>
          <w:tcPr>
            <w:tcW w:type="dxa" w:w="280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Procedimento</w:t>
            </w:r>
          </w:p>
        </w:tc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3"/>
              </w:rPr>
              <w:t>Referência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3"/>
              </w:rPr>
              <w:t>F-05</w:t>
            </w:r>
          </w:p>
        </w:tc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Reserva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Uso de R$ 1,2 mi em obras, sem memória atualizada de riscos.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LDO, LOA, riscos, eventos, saldo e justificativa.</w:t>
            </w:r>
          </w:p>
        </w:tc>
        <w:tc>
          <w:tcPr>
            <w:tcW w:type="dxa" w:w="28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Examinar finalidade; atualizar riscos; tratar como anulação; medir cobertura remanescente.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Sem evidência de riscos: inconclusivo e diligência.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3"/>
              </w:rPr>
              <w:t>F-06</w:t>
            </w:r>
          </w:p>
        </w:tc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Veto/emenda/rejeição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Veto deixou R$ 900 mil sem despesa correspondente.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Projeto, autógrafo, veto, LOA, lei específica e ato.</w:t>
            </w:r>
          </w:p>
        </w:tc>
        <w:tc>
          <w:tcPr>
            <w:tcW w:type="dxa" w:w="28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Rastrear origem; confirmar saldo; exigir autorização prévia e específica.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Uso possível até R$ 900 mil, sujeito à autorização.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3"/>
              </w:rPr>
              <w:t>F-07</w:t>
            </w:r>
          </w:p>
        </w:tc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Transferência/convênio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R$ 1,5 mi ingressará acima da previsão; R$ 0,5 mi estava em caixa no ano anterior.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Instrumento, previsão, cronograma, extratos e balanço.</w:t>
            </w:r>
          </w:p>
        </w:tc>
        <w:tc>
          <w:tcPr>
            <w:tcW w:type="dxa" w:w="28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Segregar exercício; testar excesso e superávit; preservar destinação.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R$ 1,5 mi como excesso e R$ 0,5 mi como superávit, se comprovados.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3"/>
              </w:rPr>
              <w:t>F-08</w:t>
            </w:r>
          </w:p>
        </w:tc>
        <w:tc>
          <w:tcPr>
            <w:tcW w:type="dxa" w:w="151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Mista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R$ 8 mi: anulação 3; excesso 2; superávit 1; operação 2.</w:t>
            </w:r>
          </w:p>
        </w:tc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Decreto, memórias, QDD, extratos, razão e demonstrativo.</w:t>
            </w:r>
          </w:p>
        </w:tc>
        <w:tc>
          <w:tcPr>
            <w:tcW w:type="dxa" w:w="280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Conferir soma; testar cada parcela; computar somente anulação pertinente; conciliar.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3"/>
              </w:rPr>
              <w:t>Total R$ 8 mi; parcela do limite por anulação: R$ 3 mi.</w:t>
            </w:r>
          </w:p>
        </w:tc>
      </w:tr>
    </w:tbl>
    <w:p>
      <w:pPr>
        <w:spacing w:after="0"/>
      </w:pPr>
    </w:p>
    <w:p>
      <w:pPr>
        <w:pStyle w:val="Heading2"/>
      </w:pPr>
      <w:r>
        <w:t>Controles relacionados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56"/>
        <w:gridCol w:w="2056"/>
        <w:gridCol w:w="2056"/>
        <w:gridCol w:w="2056"/>
        <w:gridCol w:w="2056"/>
      </w:tblGrid>
      <w:tr>
        <w:trPr>
          <w:tblHeader w:val="true"/>
          <w:cantSplit/>
        </w:trPr>
        <w:tc>
          <w:tcPr>
            <w:tcW w:type="dxa" w:w="79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Cód.</w:t>
            </w:r>
          </w:p>
        </w:tc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Tema</w:t>
            </w:r>
          </w:p>
        </w:tc>
        <w:tc>
          <w:tcPr>
            <w:tcW w:type="dxa" w:w="273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Caso</w:t>
            </w:r>
          </w:p>
        </w:tc>
        <w:tc>
          <w:tcPr>
            <w:tcW w:type="dxa" w:w="367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Procedimento</w:t>
            </w:r>
          </w:p>
        </w:tc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Referência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C-01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Reabertura</w:t>
            </w:r>
          </w:p>
        </w:tc>
        <w:tc>
          <w:tcPr>
            <w:tcW w:type="dxa" w:w="27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Especial de R$ 1,5 mi autorizado em novembro; execução de R$ 0,4 mi.</w:t>
            </w:r>
          </w:p>
        </w:tc>
        <w:tc>
          <w:tcPr>
            <w:tcW w:type="dxa" w:w="36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Confirmar últimos quatro meses; apurar saldo; limitar reabertura; manter classificação.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Saldo máximo: R$ 1,1 mi; não é novo recurso.</w:t>
            </w:r>
          </w:p>
        </w:tc>
      </w:tr>
      <w:tr>
        <w:trPr>
          <w:cantSplit/>
        </w:trPr>
        <w:tc>
          <w:tcPr>
            <w:tcW w:type="dxa" w:w="79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4"/>
              </w:rPr>
              <w:t>C-02</w:t>
            </w:r>
          </w:p>
        </w:tc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QDD e realocação</w:t>
            </w:r>
          </w:p>
        </w:tc>
        <w:tc>
          <w:tcPr>
            <w:tcW w:type="dxa" w:w="273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R$ 3 mi no mesmo programa; R$ 2 mi entre categorias sem lei específica.</w:t>
            </w:r>
          </w:p>
        </w:tc>
        <w:tc>
          <w:tcPr>
            <w:tcW w:type="dxa" w:w="367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Comparar estrutura programática e nível da LOA; aplicar art. 167, VI, pela substância.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4"/>
              </w:rPr>
              <w:t>Primeiro depende da lei local; segundo exige autorização própria.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6. Principais cases e necessidades do CEAT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cantSplit/>
        </w:trPr>
        <w:tc>
          <w:tcPr>
            <w:tcW w:type="dxa" w:w="18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Necessidade</w:t>
            </w:r>
          </w:p>
        </w:tc>
        <w:tc>
          <w:tcPr>
            <w:tcW w:type="dxa" w:w="208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Referência pública</w:t>
            </w:r>
          </w:p>
        </w:tc>
        <w:tc>
          <w:tcPr>
            <w:tcW w:type="dxa" w:w="36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Padrão observado</w:t>
            </w:r>
          </w:p>
        </w:tc>
        <w:tc>
          <w:tcPr>
            <w:tcW w:type="dxa" w:w="345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Resposta operacional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1. Excesso do limite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Barra do Mendes, contas de 2024</w:t>
            </w:r>
          </w:p>
        </w:tc>
        <w:tc>
          <w:tcPr>
            <w:tcW w:type="dxa" w:w="36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Notícia oficial de 05/05/2026 registra abertura por anulação acima do limite da LOA, tratada como despesa sem autorização legislativa.</w:t>
            </w:r>
          </w:p>
        </w:tc>
        <w:tc>
          <w:tcPr>
            <w:tcW w:type="dxa" w:w="34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Recalcular a base, o teto e o acumulado; localizar o primeiro excesso e os atos posteriores.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2. Ausência de autorização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Umburanas, Processo 07325e17</w:t>
            </w:r>
          </w:p>
        </w:tc>
        <w:tc>
          <w:tcPr>
            <w:tcW w:type="dxa" w:w="36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 decisão registra créditos suplementares sem autorização após alteração legislativa que suprimiu a permissão.</w:t>
            </w:r>
          </w:p>
        </w:tc>
        <w:tc>
          <w:tcPr>
            <w:tcW w:type="dxa" w:w="34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Conferir o texto final sancionado e publicado, não apenas projeto, minuta ou redação anterior.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3. Lei posterior e publicidade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Itajuípe, Processo 12006e22</w:t>
            </w:r>
          </w:p>
        </w:tc>
        <w:tc>
          <w:tcPr>
            <w:tcW w:type="dxa" w:w="36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LOA com 5% e leis posteriores com acréscimos; créditos por anulação, superávit e excesso foram conciliados, mas houve publicação intempestiva de decretos.</w:t>
            </w:r>
          </w:p>
        </w:tc>
        <w:tc>
          <w:tcPr>
            <w:tcW w:type="dxa" w:w="34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Aplicar cada lei da vigência em diante e testar separadamente publicação e conciliação.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4. Classificação jurídica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Itaquara, Processo 02916-17</w:t>
            </w:r>
          </w:p>
        </w:tc>
        <w:tc>
          <w:tcPr>
            <w:tcW w:type="dxa" w:w="36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O parecer distingue crédito adicional de transposição, remanejamento e transferência e afasta efeito retroativo da autorização posterior.</w:t>
            </w:r>
          </w:p>
        </w:tc>
        <w:tc>
          <w:tcPr>
            <w:tcW w:type="dxa" w:w="34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Ler o conteúdo do ato e identificar se há mudança de programação, órgão ou categoria.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5. Controle positivo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Souto Soares, Processo 09809e25</w:t>
            </w:r>
          </w:p>
        </w:tc>
        <w:tc>
          <w:tcPr>
            <w:tcW w:type="dxa" w:w="36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 decisão confronta valores por anulação e excesso com a autorização e com o demonstrativo consolidado; o total por anulação permaneceu dentro do teto informado.</w:t>
            </w:r>
          </w:p>
        </w:tc>
        <w:tc>
          <w:tcPr>
            <w:tcW w:type="dxa" w:w="34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Documentar também a conclusão de conformidade, evitando transformar alerta automático em achado.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5"/>
              </w:rPr>
              <w:t>6. QDD e exceções</w:t>
            </w:r>
          </w:p>
        </w:tc>
        <w:tc>
          <w:tcPr>
            <w:tcW w:type="dxa" w:w="208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Itajuípe e Souto Soares</w:t>
            </w:r>
          </w:p>
        </w:tc>
        <w:tc>
          <w:tcPr>
            <w:tcW w:type="dxa" w:w="36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As decisões apresentam alterações de QDD em subtotal próprio.</w:t>
            </w:r>
          </w:p>
        </w:tc>
        <w:tc>
          <w:tcPr>
            <w:tcW w:type="dxa" w:w="345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Não incluir nem excluir automaticamente: conferir LOA, norma local e substância da alteração.</w:t>
            </w:r>
          </w:p>
        </w:tc>
      </w:tr>
    </w:tbl>
    <w:p>
      <w:pPr>
        <w:spacing w:after="0"/>
      </w:pPr>
    </w:p>
    <w:p>
      <w:pPr>
        <w:pStyle w:val="Heading2"/>
      </w:pPr>
      <w:r>
        <w:t>Links oficiais dos cases</w:t>
      </w:r>
    </w:p>
    <w:p>
      <w:pPr>
        <w:pStyle w:val="ListBullet"/>
      </w:pPr>
      <w:hyperlink r:id="rId15">
        <w:r>
          <w:rPr>
            <w:color w:val="0F766E"/>
            <w:u w:val="single"/>
          </w:rPr>
          <w:t>Barra do Mendes — notícia oficial</w:t>
        </w:r>
      </w:hyperlink>
    </w:p>
    <w:p>
      <w:pPr>
        <w:pStyle w:val="ListBullet"/>
      </w:pPr>
      <w:hyperlink r:id="rId16">
        <w:r>
          <w:rPr>
            <w:color w:val="0F766E"/>
            <w:u w:val="single"/>
          </w:rPr>
          <w:t>Umburanas — Processo 07325e17</w:t>
        </w:r>
      </w:hyperlink>
    </w:p>
    <w:p>
      <w:pPr>
        <w:pStyle w:val="ListBullet"/>
      </w:pPr>
      <w:hyperlink r:id="rId17">
        <w:r>
          <w:rPr>
            <w:color w:val="0F766E"/>
            <w:u w:val="single"/>
          </w:rPr>
          <w:t>Itajuípe — Processo 12006e22</w:t>
        </w:r>
      </w:hyperlink>
    </w:p>
    <w:p>
      <w:pPr>
        <w:pStyle w:val="ListBullet"/>
      </w:pPr>
      <w:hyperlink r:id="rId18">
        <w:r>
          <w:rPr>
            <w:color w:val="0F766E"/>
            <w:u w:val="single"/>
          </w:rPr>
          <w:t>Itaquara — Processo 02916-17</w:t>
        </w:r>
      </w:hyperlink>
    </w:p>
    <w:p>
      <w:pPr>
        <w:pStyle w:val="ListBullet"/>
      </w:pPr>
      <w:hyperlink r:id="rId19">
        <w:r>
          <w:rPr>
            <w:color w:val="0F766E"/>
            <w:u w:val="single"/>
          </w:rPr>
          <w:t>Souto Soares — Processo 09809e25</w:t>
        </w:r>
      </w:hyperlink>
    </w:p>
    <w:p>
      <w:pPr>
        <w:pStyle w:val="ListBullet"/>
      </w:pPr>
      <w:hyperlink r:id="rId20">
        <w:r>
          <w:rPr>
            <w:color w:val="0F766E"/>
            <w:u w:val="single"/>
          </w:rPr>
          <w:t>Ementário jurídico do TCM-BA</w:t>
        </w:r>
      </w:hyperlink>
    </w:p>
    <w:p>
      <w:r>
        <w:br w:type="page"/>
      </w:r>
    </w:p>
    <w:p>
      <w:pPr>
        <w:pStyle w:val="Heading1"/>
      </w:pPr>
      <w:r>
        <w:t>7. Documentos e evidências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194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Grupo</w:t>
            </w:r>
          </w:p>
        </w:tc>
        <w:tc>
          <w:tcPr>
            <w:tcW w:type="dxa" w:w="4032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Documento</w:t>
            </w:r>
          </w:p>
        </w:tc>
        <w:tc>
          <w:tcPr>
            <w:tcW w:type="dxa" w:w="504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Campos a extrair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Norma orçamentária</w:t>
            </w:r>
          </w:p>
        </w:tc>
        <w:tc>
          <w:tcPr>
            <w:tcW w:type="dxa" w:w="40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LOA completa, anexos, autógrafo, publicação, LDO e leis supervenientes</w:t>
            </w:r>
          </w:p>
        </w:tc>
        <w:tc>
          <w:tcPr>
            <w:tcW w:type="dxa" w:w="50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Base de incidência; percentual ou valor; exceções; vigência; texto aprovado.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Atos de abertura</w:t>
            </w:r>
          </w:p>
        </w:tc>
        <w:tc>
          <w:tcPr>
            <w:tcW w:type="dxa" w:w="40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Decretos e atos equivalentes em inteiro teor</w:t>
            </w:r>
          </w:p>
        </w:tc>
        <w:tc>
          <w:tcPr>
            <w:tcW w:type="dxa" w:w="50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Data; espécie; fundamento; recurso para abertura; classificação; dotação alterada; valor.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Publicidade</w:t>
            </w:r>
          </w:p>
        </w:tc>
        <w:tc>
          <w:tcPr>
            <w:tcW w:type="dxa" w:w="40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Edição do Diário Oficial e comprovante de disponibilização</w:t>
            </w:r>
          </w:p>
        </w:tc>
        <w:tc>
          <w:tcPr>
            <w:tcW w:type="dxa" w:w="50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Data real de publicação, integridade do arquivo e eventual republicação.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Execução e controle</w:t>
            </w:r>
          </w:p>
        </w:tc>
        <w:tc>
          <w:tcPr>
            <w:tcW w:type="dxa" w:w="40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Demonstrativo consolidado, razão das contas de controle, balancete e QDD</w:t>
            </w:r>
          </w:p>
        </w:tc>
        <w:tc>
          <w:tcPr>
            <w:tcW w:type="dxa" w:w="50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Correspondência entre abertura, recurso, Fonte/Destinação, contabilização e saldo da dotação.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Sistemas</w:t>
            </w:r>
          </w:p>
        </w:tc>
        <w:tc>
          <w:tcPr>
            <w:tcW w:type="dxa" w:w="40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SIGA/e-TCM, portal e arquivos exportados</w:t>
            </w:r>
          </w:p>
        </w:tc>
        <w:tc>
          <w:tcPr>
            <w:tcW w:type="dxa" w:w="50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Filtros, competência, data de coleta, hash/nome do arquivo e totais por fonte.</w:t>
            </w:r>
          </w:p>
        </w:tc>
      </w:tr>
      <w:tr>
        <w:trPr>
          <w:cantSplit/>
        </w:trPr>
        <w:tc>
          <w:tcPr>
            <w:tcW w:type="dxa" w:w="194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Responsáveis</w:t>
            </w:r>
          </w:p>
        </w:tc>
        <w:tc>
          <w:tcPr>
            <w:tcW w:type="dxa" w:w="4032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Notas técnicas, parecer jurídico/contábil e manifestação do gestor</w:t>
            </w:r>
          </w:p>
        </w:tc>
        <w:tc>
          <w:tcPr>
            <w:tcW w:type="dxa" w:w="504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Premissas adotadas, interpretação local e esclarecimento das divergências.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CONTROLE DE INTEGRIDADE</w:t>
            </w:r>
          </w:p>
        </w:tc>
      </w:tr>
      <w:tr>
        <w:tc>
          <w:tcPr>
            <w:tcW w:type="dxa" w:w="10282"/>
            <w:shd w:fill="E8F0F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Para cada evidência, registre nome do arquivo, origem, URL ou sistema, filtro aplicado, data/hora da coleta, competência, página/linha e responsável pela validação. Uma planilha sem referência ao ato e ao Diário Oficial não é evidência suficiente do fato jurídico.</w:t>
            </w:r>
          </w:p>
        </w:tc>
      </w:tr>
    </w:tbl>
    <w:p>
      <w:pPr>
        <w:spacing w:after="0"/>
      </w:pPr>
    </w:p>
    <w:p>
      <w:pPr>
        <w:pStyle w:val="Heading1"/>
      </w:pPr>
      <w:r>
        <w:t>8. Rotina de cálculo e análise</w:t>
      </w:r>
    </w:p>
    <w:p>
      <w:pPr>
        <w:pStyle w:val="ListNumber"/>
        <w:spacing w:after="60"/>
      </w:pPr>
      <w:r>
        <w:t>Definir o objeto: ente, exercício, órgão/unidade, pergunta técnica, período e materialidade.</w:t>
      </w:r>
    </w:p>
    <w:p>
      <w:pPr>
        <w:pStyle w:val="ListNumber"/>
        <w:spacing w:after="60"/>
      </w:pPr>
      <w:r>
        <w:t>Extrair literalmente da LOA a base de incidência, o percentual ou valor autorizado, as hipóteses abrangidas e as exceções.</w:t>
      </w:r>
    </w:p>
    <w:p>
      <w:pPr>
        <w:pStyle w:val="ListNumber"/>
        <w:spacing w:after="60"/>
      </w:pPr>
      <w:r>
        <w:t>Organizar cada lei superveniente por número, publicação, vigência e forma de alteração: substituição do percentual, acréscimo de pontos percentuais ou acréscimo de valor.</w:t>
      </w:r>
    </w:p>
    <w:p>
      <w:pPr>
        <w:pStyle w:val="ListNumber"/>
        <w:spacing w:after="60"/>
      </w:pPr>
      <w:r>
        <w:t>Inventariar todos os atos em ordem cronológica, incluindo atos anulados, republicados ou retificados.</w:t>
      </w:r>
    </w:p>
    <w:p>
      <w:pPr>
        <w:pStyle w:val="ListNumber"/>
        <w:spacing w:after="60"/>
      </w:pPr>
      <w:r>
        <w:t>Classificar a espécie do crédito: suplementar, especial ou extraordinário; demonstrar a situação da dotação e da despesa.</w:t>
      </w:r>
    </w:p>
    <w:p>
      <w:pPr>
        <w:pStyle w:val="ListNumber"/>
        <w:spacing w:after="60"/>
      </w:pPr>
      <w:r>
        <w:t>Identificar e recalcular o recurso para abertura: anulação, superávit, excesso ou operação de crédito. Em ato misto, segregar cada parcela.</w:t>
      </w:r>
    </w:p>
    <w:p>
      <w:pPr>
        <w:pStyle w:val="ListNumber"/>
        <w:spacing w:after="60"/>
      </w:pPr>
      <w:r>
        <w:t>Tratar reserva como anulação; classificar convênio/transferência pelo exercício do ingresso; reconhecer que reabertura não é novo recurso.</w:t>
      </w:r>
    </w:p>
    <w:p>
      <w:pPr>
        <w:pStyle w:val="ListNumber"/>
        <w:spacing w:after="60"/>
      </w:pPr>
      <w:r>
        <w:t>Separar QDD, transposição, remanejamento e transferência do cálculo automático e examinar a substância segundo a lei local.</w:t>
      </w:r>
    </w:p>
    <w:p>
      <w:pPr>
        <w:pStyle w:val="ListNumber"/>
        <w:spacing w:after="60"/>
      </w:pPr>
      <w:r>
        <w:t>Definir se a parcela por anulação utiliza a autorização genérica da LOA. Registrar a decisão e o fundamento; não automatizar exceções controvertidas.</w:t>
      </w:r>
    </w:p>
    <w:p>
      <w:pPr>
        <w:pStyle w:val="ListNumber"/>
        <w:spacing w:after="60"/>
      </w:pPr>
      <w:r>
        <w:t>Calcular o consumo acumulado e confrontá-lo com o teto vigente na data de cada ato.</w:t>
      </w:r>
    </w:p>
    <w:p>
      <w:pPr>
        <w:pStyle w:val="ListNumber"/>
        <w:spacing w:after="60"/>
      </w:pPr>
      <w:r>
        <w:t>Identificar o primeiro excesso e manter o registro histórico, ainda que lei posterior amplie o limite anual.</w:t>
      </w:r>
    </w:p>
    <w:p>
      <w:pPr>
        <w:pStyle w:val="ListNumber"/>
        <w:spacing w:after="60"/>
      </w:pPr>
      <w:r>
        <w:t>Conciliar valor bruto do decreto, parcela por fonte, valor contabilizado, publicação e demonstrativo consolidado.</w:t>
      </w:r>
    </w:p>
    <w:p>
      <w:pPr>
        <w:pStyle w:val="ListNumber"/>
        <w:spacing w:after="60"/>
      </w:pPr>
      <w:r>
        <w:t>Formar alertas, diligências e conclusão, distinguindo excesso aritmético, vício de autorização, falha de publicidade, erro de classificação e divergência contábil.</w:t>
      </w:r>
    </w:p>
    <w:p>
      <w:pPr>
        <w:pStyle w:val="ListNumber"/>
        <w:spacing w:after="60"/>
      </w:pPr>
      <w:r>
        <w:t>Submeter a memória a revisão independente antes de emitir a resposta.</w:t>
      </w:r>
    </w:p>
    <w:p>
      <w:r>
        <w:br w:type="page"/>
      </w:r>
    </w:p>
    <w:p>
      <w:pPr>
        <w:pStyle w:val="Heading1"/>
      </w:pPr>
      <w:r>
        <w:t>9. Fórmulas e regras de decisão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302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720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Cálculo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Limite inicial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Base definida na LOA × percentual inicial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Limite após substituição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Base × novo percentual, somente a partir da vigência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Limite após acréscimo percentual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Base × (percentual inicial + pontos percentuais acrescidos), a partir da vigência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Limite após acréscimo nominal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Limite anterior + valor autorizado, a partir da vigência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Consumo do ato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Parcela por anulação computável no limite genérico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Consumo acumulado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Soma cronológica dos consumos dos atos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Margem ou excesso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Limite vigente − consumo acumulado; resultado negativo indica excesso aritmético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Conciliação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Valor bruto do ato − valor contabilizado, observado o nível de detalhe e a tolerância definida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Superávit financeiro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Ativo financeiro − passivo financeiro − saldos de créditos transferidos + operações a eles vinculadas</w:t>
            </w:r>
          </w:p>
        </w:tc>
      </w:tr>
      <w:tr>
        <w:trPr>
          <w:cantSplit/>
        </w:trPr>
        <w:tc>
          <w:tcPr>
            <w:tcW w:type="dxa" w:w="302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Excesso disponível</w:t>
            </w:r>
          </w:p>
        </w:tc>
        <w:tc>
          <w:tcPr>
            <w:tcW w:type="dxa" w:w="720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Diferença positiva acumulada + tendência comprovada − créditos extraordinários do exercício</w:t>
            </w:r>
          </w:p>
        </w:tc>
      </w:tr>
    </w:tbl>
    <w:p>
      <w:pPr>
        <w:spacing w:after="0"/>
      </w:pPr>
    </w:p>
    <w:p>
      <w:pPr>
        <w:pStyle w:val="Heading2"/>
      </w:pPr>
      <w:r>
        <w:t>Tratamento padrão por espécie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  <w:cantSplit/>
        </w:trPr>
        <w:tc>
          <w:tcPr>
            <w:tcW w:type="dxa" w:w="31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Espécie</w:t>
            </w:r>
          </w:p>
        </w:tc>
        <w:tc>
          <w:tcPr>
            <w:tcW w:type="dxa" w:w="316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Tratamento inicial</w:t>
            </w:r>
          </w:p>
        </w:tc>
        <w:tc>
          <w:tcPr>
            <w:tcW w:type="dxa" w:w="446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Cautela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Suplementar + LOA genérica + anulação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Computar a parcela por anulação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Confirmar texto, base, vigência e fonte.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Suplementar com fontes mistas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Computar apenas a parcela por anulação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O valor bruto do decreto não substitui a segregação.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Suplementar com lei específica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Revisar antes de computar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Verificar se a lei criou autorização autônoma e seu alcance.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Especial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Tratar em trilha separada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Exige autorização específica e decreto de abertura.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Extraordinário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Tratar em trilha separada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Validar hipótese constitucional e ato próprio.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Reserva de contingência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Classificar como anulação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Conferir LDO, riscos fiscais, motivação e cobertura remanescente.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Transferência/convênio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Reclassificar conforme o ingresso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Pode sustentar excesso corrente ou superávit anterior; preservar vinculação.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Reabertura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Não registrar como novo recurso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Somente saldo de especial/extraordinário autorizado ou aberto nos últimos quatro meses.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QDD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Não automatizar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Examinar substância e legislação local.</w:t>
            </w:r>
          </w:p>
        </w:tc>
      </w:tr>
      <w:tr>
        <w:trPr>
          <w:cantSplit/>
        </w:trPr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Transposição/remanejamento/transferência</w:t>
            </w:r>
          </w:p>
        </w:tc>
        <w:tc>
          <w:tcPr>
            <w:tcW w:type="dxa" w:w="316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Não confundir com crédito suplementar</w:t>
            </w:r>
          </w:p>
        </w:tc>
        <w:tc>
          <w:tcPr>
            <w:tcW w:type="dxa" w:w="446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Exigir autorização legislativa conforme art. 167, VI, ressalvadas hipóteses constitucionais.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ALERTA DE VIGÊNCIA</w:t>
            </w:r>
          </w:p>
        </w:tc>
      </w:tr>
      <w:tr>
        <w:tc>
          <w:tcPr>
            <w:tcW w:type="dxa" w:w="10282"/>
            <w:shd w:fill="FDECE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A lei superveniente produz efeitos a partir de sua vigência. Se o consumo já havia superado o limite anterior, registre o excesso histórico. O simples reenquadramento no teto final não transforma retroativamente o ato em autorizado.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10. Atividades integradoras do limite por anulação</w:t>
      </w:r>
    </w:p>
    <w:p>
      <w:pPr>
        <w:pStyle w:val="Heading2"/>
      </w:pPr>
      <w:r>
        <w:t>Atividade 1 — Excesso direto</w:t>
      </w:r>
    </w:p>
    <w:p>
      <w:r>
        <w:t>LOA: despesa fixada em R$ 100.000.000,00 e limite de 20% por anulação. Decretos suplementares computáveis: R$ 7.000.000,00, R$ 8.000.000,00 e R$ 6.500.000,00.</w:t>
      </w:r>
    </w:p>
    <w:p>
      <w:pPr>
        <w:pStyle w:val="ListBullet"/>
        <w:spacing w:after="40"/>
      </w:pPr>
      <w:r>
        <w:t>Calcule o teto.</w:t>
      </w:r>
    </w:p>
    <w:p>
      <w:pPr>
        <w:pStyle w:val="ListBullet"/>
        <w:spacing w:after="40"/>
      </w:pPr>
      <w:r>
        <w:t>Construa o acumulado por data.</w:t>
      </w:r>
    </w:p>
    <w:p>
      <w:pPr>
        <w:pStyle w:val="ListBullet"/>
        <w:spacing w:after="40"/>
      </w:pPr>
      <w:r>
        <w:t>Identifique o primeiro excesso e o valor excedido.</w:t>
      </w:r>
    </w:p>
    <w:p>
      <w:pPr>
        <w:pStyle w:val="ListBullet"/>
        <w:spacing w:after="40"/>
      </w:pPr>
      <w:r>
        <w:t>Redija uma proposta de diligência e conclusão.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GABARITO SINTÉTICO</w:t>
            </w:r>
          </w:p>
        </w:tc>
      </w:tr>
      <w:t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Limite: R$ 20.000.000,00. Consumo: R$ 21.500.000,00. Excesso: R$ 1.500.000,00, localizado no terceiro ato. A conclusão jurídica depende da validação da LOA, dos decretos e da publicação.</w:t>
            </w:r>
          </w:p>
        </w:tc>
      </w:tr>
    </w:tbl>
    <w:p>
      <w:pPr>
        <w:spacing w:after="0"/>
      </w:pPr>
    </w:p>
    <w:p>
      <w:pPr>
        <w:pStyle w:val="Heading2"/>
      </w:pPr>
      <w:r>
        <w:t>Atividade 2 — Lei posterior sem retroatividade</w:t>
      </w:r>
    </w:p>
    <w:p>
      <w:r>
        <w:t>LOA: R$ 80.000.000,00 e 10%. Consumo acumulado em fevereiro: R$ 4.000.000,00; em junho: mais R$ 5.000.000,00. Lei vigente desde 1º de agosto substitui o limite por 15%. Em setembro, novo crédito computável de R$ 2.000.000,00.</w:t>
      </w:r>
    </w:p>
    <w:p>
      <w:pPr>
        <w:pStyle w:val="ListBullet"/>
        <w:spacing w:after="40"/>
      </w:pPr>
      <w:r>
        <w:t>Apure o limite antes e depois de 1º de agosto.</w:t>
      </w:r>
    </w:p>
    <w:p>
      <w:pPr>
        <w:pStyle w:val="ListBullet"/>
        <w:spacing w:after="40"/>
      </w:pPr>
      <w:r>
        <w:t>Indique se houve excesso em junho.</w:t>
      </w:r>
    </w:p>
    <w:p>
      <w:pPr>
        <w:pStyle w:val="ListBullet"/>
        <w:spacing w:after="40"/>
      </w:pPr>
      <w:r>
        <w:t>Avalie o saldo final sem apagar o evento histórico.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GABARITO SINTÉTICO</w:t>
            </w:r>
          </w:p>
        </w:tc>
      </w:tr>
      <w:t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Limite inicial: R$ 8.000.000,00. Em junho, o acumulado de R$ 9.000.000,00 excede o teto então vigente em R$ 1.000.000,00. O limite posterior é R$ 12.000.000,00 e o acumulado final é R$ 11.000.000,00, mas a lei posterior não sana retroativamente o excesso de junho.</w:t>
            </w:r>
          </w:p>
        </w:tc>
      </w:tr>
    </w:tbl>
    <w:p>
      <w:pPr>
        <w:spacing w:after="0"/>
      </w:pPr>
    </w:p>
    <w:p>
      <w:pPr>
        <w:pStyle w:val="Heading2"/>
      </w:pPr>
      <w:r>
        <w:t>Atividade 3 — Fontes mistas e classificação</w:t>
      </w:r>
    </w:p>
    <w:p>
      <w:r>
        <w:t>Analise um decreto suplementar de R$ 12.000.000,00, sendo R$ 5.000.000,00 por anulação; outro de R$ 8.000.000,00 por excesso de arrecadação; QDD de R$ 3.000.000,00; remanejamento de R$ 2.000.000,00 sem lei específica identificada; e suplementação por anulação de R$ 10.000.000,00 com contabilização de R$ 9.800.000,00.</w:t>
      </w:r>
    </w:p>
    <w:p>
      <w:pPr>
        <w:pStyle w:val="ListBullet"/>
        <w:spacing w:after="40"/>
      </w:pPr>
      <w:r>
        <w:t>Determine o consumo automático do limite.</w:t>
      </w:r>
    </w:p>
    <w:p>
      <w:pPr>
        <w:pStyle w:val="ListBullet"/>
        <w:spacing w:after="40"/>
      </w:pPr>
      <w:r>
        <w:t>Liste os itens sujeitos a análise separada.</w:t>
      </w:r>
    </w:p>
    <w:p>
      <w:pPr>
        <w:pStyle w:val="ListBullet"/>
        <w:spacing w:after="40"/>
      </w:pPr>
      <w:r>
        <w:t>Quantifique a divergência contábil.</w:t>
      </w:r>
    </w:p>
    <w:p>
      <w:pPr>
        <w:pStyle w:val="ListBullet"/>
        <w:spacing w:after="40"/>
      </w:pPr>
      <w:r>
        <w:t>Formule diligências para a autorização e a publicação.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GABARITO SINTÉTICO</w:t>
            </w:r>
          </w:p>
        </w:tc>
      </w:tr>
      <w:t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Consumo automático: R$ 15.000.000,00 (R$ 5.000.000,00 + R$ 10.000.000,00). Excesso de arrecadação não integra esse subtotal. QDD e remanejamento exigem análise própria. A diferença entre o último decreto e a contabilização é R$ 200.000,00.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11. Modelo de análise técnica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2520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Seção</w:t>
            </w:r>
          </w:p>
        </w:tc>
        <w:tc>
          <w:tcPr>
            <w:tcW w:type="dxa" w:w="7704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Conteúdo mínimo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1. Identificação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Solicitante; processo; ente; exercício; quesito; técnico; revisor; data-base.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2. Objeto e escopo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Pergunta respondida, período, órgãos e atos abrangidos; exclusões justificadas.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3. Critérios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CF; Lei nº 4.320/1964; LRF; LOA; leis específicas; LDO; normas locais; jurisprudência pertinente.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4. Evidências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Relação de arquivos, páginas, URLs, datas de coleta, integridade e lacunas.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5. Premissas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Base de incidência; limite inicial; alterações; vigência; tolerância; regra de classificação.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6. Memória cronológica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Ato; data; espécie; autorização; fonte; valor bruto; parcela por anulação; contabilizado; publicado; acumulado; teto; margem.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7. Resultado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Primeiro excesso, valor, atos posteriores; ou margem final quando dentro do teto.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8. Outros achados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Ausência de autorização; publicação tardia; classificação inadequada; fonte não segregada; divergência contábil.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9. Limitações e diligências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Documentos ausentes, hipóteses que dependem da lei local e providências para completar a evidência.</w:t>
            </w:r>
          </w:p>
        </w:tc>
      </w:tr>
      <w:tr>
        <w:trPr>
          <w:cantSplit/>
        </w:trPr>
        <w:tc>
          <w:tcPr>
            <w:tcW w:type="dxa" w:w="2520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10. Conclusão</w:t>
            </w:r>
          </w:p>
        </w:tc>
        <w:tc>
          <w:tcPr>
            <w:tcW w:type="dxa" w:w="7704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Dentro do limite; excedido; inconclusivo; ou dependente de interpretação, com revisão e contraditório.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12. Proposta de resposta ao solicitante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TEXTO-BASE EDITÁVEL</w:t>
            </w:r>
          </w:p>
        </w:tc>
      </w:tr>
      <w:tr>
        <w:tc>
          <w:tcPr>
            <w:tcW w:type="dxa" w:w="10282"/>
            <w:shd w:fill="E8F0F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Em atenção ao quesito, examinou-se o limite de alterações orçamentárias por anulação de dotações do [ENTE], exercício [ANO], com base na despesa fixada de [BASE] e na autorização inicial de [PERCENTUAL/VALOR]. Foram inventariados [N] atos e segregadas as fontes de cada abertura. A parcela computável por anulação totalizou [CONSUMO], diante do limite de [LIMITE] vigente em [DATA]. [FOI/NÃO FOI] identificado excesso aritmético; o primeiro evento ocorreu no [ATO], em [DATA], no valor de [EXCESSO]. Além do cálculo, verificaram-se [AUTORIZAÇÃO/PUBLICIDADE/CLASSIFICAÇÃO/CONCILIAÇÃO]. A conclusão é preliminar porque [LIMITAÇÕES]. Recomenda-se solicitar [DILIGÊNCIAS]. O resultado deve ser validado pelo técnico responsável e não implica, isoladamente, juízo sobre responsabilidade pessoal.</w:t>
            </w:r>
          </w:p>
        </w:tc>
      </w:tr>
    </w:tbl>
    <w:p>
      <w:pPr>
        <w:spacing w:after="0"/>
      </w:pPr>
    </w:p>
    <w:p>
      <w:pPr>
        <w:pStyle w:val="Heading2"/>
      </w:pPr>
      <w:r>
        <w:t>Formulação por cenário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 w:val="true"/>
          <w:cantSplit/>
        </w:trPr>
        <w:tc>
          <w:tcPr>
            <w:tcW w:type="dxa" w:w="2448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Cenário</w:t>
            </w:r>
          </w:p>
        </w:tc>
        <w:tc>
          <w:tcPr>
            <w:tcW w:type="dxa" w:w="7776"/>
            <w:shd w:fill="0F766E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Redação recomendada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Dentro do limite</w:t>
            </w:r>
          </w:p>
        </w:tc>
        <w:tc>
          <w:tcPr>
            <w:tcW w:type="dxa" w:w="77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“Não se identificou excesso aritmético nos parâmetros examinados. A conclusão permanece condicionada à validade dos atos, à publicação e à consistência contábil.”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Excedido</w:t>
            </w:r>
          </w:p>
        </w:tc>
        <w:tc>
          <w:tcPr>
            <w:tcW w:type="dxa" w:w="77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“O limite vigente foi superado no ato [X], em [data], em [valor]. Os atos e valores posteriores devem ser relacionados separadamente.”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Lei posterior</w:t>
            </w:r>
          </w:p>
        </w:tc>
        <w:tc>
          <w:tcPr>
            <w:tcW w:type="dxa" w:w="77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“A ampliação vigente desde [data] foi aplicada prospectivamente; eventual excesso anterior permaneceu evidenciado.”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Inconclusivo</w:t>
            </w:r>
          </w:p>
        </w:tc>
        <w:tc>
          <w:tcPr>
            <w:tcW w:type="dxa" w:w="77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shd w:fill="F4F6F8"/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“A ausência de [documento/campo] impede determinar com segurança a base, a fonte ou a vigência; propõe-se diligência.”</w:t>
            </w:r>
          </w:p>
        </w:tc>
      </w:tr>
      <w:tr>
        <w:trPr>
          <w:cantSplit/>
        </w:trPr>
        <w:tc>
          <w:tcPr>
            <w:tcW w:type="dxa" w:w="2448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Classificação controvertida</w:t>
            </w:r>
          </w:p>
        </w:tc>
        <w:tc>
          <w:tcPr>
            <w:tcW w:type="dxa" w:w="7776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“O tratamento de [QDD/realocação] depende do conteúdo do ato e da legislação local; não foi computado automaticamente.”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13. Checklist de revisão de qualidade</w:t>
      </w:r>
    </w:p>
    <w:p>
      <w:pPr>
        <w:spacing w:after="80"/>
      </w:pPr>
      <w:r>
        <w:rPr>
          <w:b/>
        </w:rPr>
        <w:t xml:space="preserve">☐ </w:t>
      </w:r>
      <w:r>
        <w:t>A base de incidência corresponde exatamente ao texto da LOA?</w:t>
      </w:r>
    </w:p>
    <w:p>
      <w:pPr>
        <w:spacing w:after="80"/>
      </w:pPr>
      <w:r>
        <w:rPr>
          <w:b/>
        </w:rPr>
        <w:t xml:space="preserve">☐ </w:t>
      </w:r>
      <w:r>
        <w:t>O percentual foi convertido em valor e recalculado?</w:t>
      </w:r>
    </w:p>
    <w:p>
      <w:pPr>
        <w:spacing w:after="80"/>
      </w:pPr>
      <w:r>
        <w:rPr>
          <w:b/>
        </w:rPr>
        <w:t xml:space="preserve">☐ </w:t>
      </w:r>
      <w:r>
        <w:t>As leis posteriores foram aplicadas somente desde sua vigência?</w:t>
      </w:r>
    </w:p>
    <w:p>
      <w:pPr>
        <w:spacing w:after="80"/>
      </w:pPr>
      <w:r>
        <w:rPr>
          <w:b/>
        </w:rPr>
        <w:t xml:space="preserve">☐ </w:t>
      </w:r>
      <w:r>
        <w:t>O texto final publicado foi conferido?</w:t>
      </w:r>
    </w:p>
    <w:p>
      <w:pPr>
        <w:spacing w:after="80"/>
      </w:pPr>
      <w:r>
        <w:rPr>
          <w:b/>
        </w:rPr>
        <w:t xml:space="preserve">☐ </w:t>
      </w:r>
      <w:r>
        <w:t>O valor bruto de cada decreto foi segregado por fonte?</w:t>
      </w:r>
    </w:p>
    <w:p>
      <w:pPr>
        <w:spacing w:after="80"/>
      </w:pPr>
      <w:r>
        <w:rPr>
          <w:b/>
        </w:rPr>
        <w:t xml:space="preserve">☐ </w:t>
      </w:r>
      <w:r>
        <w:t>Somente a parcela por anulação pertinente entrou no consumo automático?</w:t>
      </w:r>
    </w:p>
    <w:p>
      <w:pPr>
        <w:spacing w:after="80"/>
      </w:pPr>
      <w:r>
        <w:rPr>
          <w:b/>
        </w:rPr>
        <w:t xml:space="preserve">☐ </w:t>
      </w:r>
      <w:r>
        <w:t>QDD, créditos especiais/extraordinários e realocações foram tratados separadamente?</w:t>
      </w:r>
    </w:p>
    <w:p>
      <w:pPr>
        <w:spacing w:after="80"/>
      </w:pPr>
      <w:r>
        <w:rPr>
          <w:b/>
        </w:rPr>
        <w:t xml:space="preserve">☐ </w:t>
      </w:r>
      <w:r>
        <w:t>O primeiro excesso foi localizado por data e ato?</w:t>
      </w:r>
    </w:p>
    <w:p>
      <w:pPr>
        <w:spacing w:after="80"/>
      </w:pPr>
      <w:r>
        <w:rPr>
          <w:b/>
        </w:rPr>
        <w:t xml:space="preserve">☐ </w:t>
      </w:r>
      <w:r>
        <w:t>Decreto, publicação, demonstrativo e razão contábil foram conciliados?</w:t>
      </w:r>
    </w:p>
    <w:p>
      <w:pPr>
        <w:spacing w:after="80"/>
      </w:pPr>
      <w:r>
        <w:rPr>
          <w:b/>
        </w:rPr>
        <w:t xml:space="preserve">☐ </w:t>
      </w:r>
      <w:r>
        <w:t>As diferenças foram quantificadas e não apenas descritas?</w:t>
      </w:r>
    </w:p>
    <w:p>
      <w:pPr>
        <w:spacing w:after="80"/>
      </w:pPr>
      <w:r>
        <w:rPr>
          <w:b/>
        </w:rPr>
        <w:t xml:space="preserve">☐ </w:t>
      </w:r>
      <w:r>
        <w:t>Cada afirmação possui referência de arquivo e página/linha?</w:t>
      </w:r>
    </w:p>
    <w:p>
      <w:pPr>
        <w:spacing w:after="80"/>
      </w:pPr>
      <w:r>
        <w:rPr>
          <w:b/>
        </w:rPr>
        <w:t xml:space="preserve">☐ </w:t>
      </w:r>
      <w:r>
        <w:t>Fato, indício, limitação e interpretação estão separados?</w:t>
      </w:r>
    </w:p>
    <w:p>
      <w:pPr>
        <w:spacing w:after="80"/>
      </w:pPr>
      <w:r>
        <w:rPr>
          <w:b/>
        </w:rPr>
        <w:t xml:space="preserve">☐ </w:t>
      </w:r>
      <w:r>
        <w:t>A resposta evita atribuir dolo, crime ou responsabilidade pessoal sem evidência e contraditório?</w:t>
      </w:r>
    </w:p>
    <w:p>
      <w:pPr>
        <w:spacing w:after="80"/>
      </w:pPr>
      <w:r>
        <w:rPr>
          <w:b/>
        </w:rPr>
        <w:t xml:space="preserve">☐ </w:t>
      </w:r>
      <w:r>
        <w:t>A memória foi revisada por outro técnico?</w:t>
      </w:r>
    </w:p>
    <w:p>
      <w:pPr>
        <w:pStyle w:val="Heading1"/>
      </w:pPr>
      <w:r>
        <w:t>14. Fontes oficiais consultadas</w:t>
      </w:r>
    </w:p>
    <w:p>
      <w:pPr>
        <w:pStyle w:val="ListBullet"/>
      </w:pPr>
      <w:hyperlink r:id="rId12">
        <w:r>
          <w:rPr>
            <w:color w:val="0F766E"/>
            <w:u w:val="single"/>
          </w:rPr>
          <w:t>Constituição Federal</w:t>
        </w:r>
      </w:hyperlink>
    </w:p>
    <w:p>
      <w:pPr>
        <w:pStyle w:val="ListBullet"/>
      </w:pPr>
      <w:hyperlink r:id="rId13">
        <w:r>
          <w:rPr>
            <w:color w:val="0F766E"/>
            <w:u w:val="single"/>
          </w:rPr>
          <w:t>Lei nº 4.320/1964</w:t>
        </w:r>
      </w:hyperlink>
    </w:p>
    <w:p>
      <w:pPr>
        <w:pStyle w:val="ListBullet"/>
      </w:pPr>
      <w:hyperlink r:id="rId14">
        <w:r>
          <w:rPr>
            <w:color w:val="0F766E"/>
            <w:u w:val="single"/>
          </w:rPr>
          <w:t>Lei de Responsabilidade Fiscal</w:t>
        </w:r>
      </w:hyperlink>
    </w:p>
    <w:p>
      <w:pPr>
        <w:pStyle w:val="ListBullet"/>
      </w:pPr>
      <w:hyperlink r:id="rId21">
        <w:r>
          <w:rPr>
            <w:color w:val="0F766E"/>
            <w:u w:val="single"/>
          </w:rPr>
          <w:t>MCASP — portal oficial da STN</w:t>
        </w:r>
      </w:hyperlink>
    </w:p>
    <w:p>
      <w:pPr>
        <w:pStyle w:val="ListBullet"/>
      </w:pPr>
      <w:hyperlink r:id="rId15">
        <w:r>
          <w:rPr>
            <w:color w:val="0F766E"/>
            <w:u w:val="single"/>
          </w:rPr>
          <w:t>TCM-BA — Barra do Mendes e Taperoá, notícia de 05/05/2026</w:t>
        </w:r>
      </w:hyperlink>
    </w:p>
    <w:p>
      <w:pPr>
        <w:pStyle w:val="ListBullet"/>
      </w:pPr>
      <w:hyperlink r:id="rId18">
        <w:r>
          <w:rPr>
            <w:color w:val="0F766E"/>
            <w:u w:val="single"/>
          </w:rPr>
          <w:t>TCM-BA — Processo nº 02916-17, Itaquara</w:t>
        </w:r>
      </w:hyperlink>
    </w:p>
    <w:p>
      <w:pPr>
        <w:pStyle w:val="ListBullet"/>
      </w:pPr>
      <w:hyperlink r:id="rId16">
        <w:r>
          <w:rPr>
            <w:color w:val="0F766E"/>
            <w:u w:val="single"/>
          </w:rPr>
          <w:t>TCM-BA — Processo nº 07325e17, Umburanas</w:t>
        </w:r>
      </w:hyperlink>
    </w:p>
    <w:p>
      <w:pPr>
        <w:pStyle w:val="ListBullet"/>
      </w:pPr>
      <w:hyperlink r:id="rId17">
        <w:r>
          <w:rPr>
            <w:color w:val="0F766E"/>
            <w:u w:val="single"/>
          </w:rPr>
          <w:t>TCM-BA — Processo nº 12006e22, Itajuípe</w:t>
        </w:r>
      </w:hyperlink>
    </w:p>
    <w:p>
      <w:pPr>
        <w:pStyle w:val="ListBullet"/>
      </w:pPr>
      <w:hyperlink r:id="rId19">
        <w:r>
          <w:rPr>
            <w:color w:val="0F766E"/>
            <w:u w:val="single"/>
          </w:rPr>
          <w:t>TCM-BA — Processo nº 09809e25, Souto Soares</w:t>
        </w:r>
      </w:hyperlink>
    </w:p>
    <w:p>
      <w:pPr>
        <w:pStyle w:val="ListBullet"/>
      </w:pPr>
      <w:hyperlink r:id="rId20">
        <w:r>
          <w:rPr>
            <w:color w:val="0F766E"/>
            <w:u w:val="single"/>
          </w:rPr>
          <w:t>TCM-BA — Ementário jurídico</w:t>
        </w:r>
      </w:hyperlink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73A4F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b/>
                <w:color w:val="FFFFFF"/>
                <w:sz w:val="20"/>
              </w:rPr>
              <w:t>NOTA FINAL</w:t>
            </w:r>
          </w:p>
        </w:tc>
      </w:tr>
      <w:tr>
        <w:tc>
          <w:tcPr>
            <w:tcW w:type="dxa" w:w="10282"/>
            <w:shd w:fill="FFF4CC"/>
            <w:tcBorders>
              <w:top w:val="single" w:sz="4" w:color="D0D5DD"/>
              <w:left w:val="single" w:sz="4" w:color="D0D5DD"/>
              <w:bottom w:val="single" w:sz="4" w:color="D0D5DD"/>
              <w:right w:val="single" w:sz="4" w:color="D0D5DD"/>
            </w:tcBorders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18"/>
              </w:rPr>
              <w:t>Este guia organiza o procedimento e os principais casos de necessidade. A conclusão em processo concreto deve refletir os documentos daquele ente e exercício, a legislação local vigente, a manifestação dos responsáveis e a revisão profissional do CEAT.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979" w:bottom="835" w:left="979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Página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0F766E"/>
        <w:sz w:val="15"/>
      </w:rPr>
      <w:t>ELOS · CEAT/MPBA  |  JORNADA DE AUDITORIA PÚBLICA  |  MÓDULO 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73A4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604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73A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A4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planalto.gov.br/ccivil_03/constituicao/constituicao.htm" TargetMode="External"/><Relationship Id="rId13" Type="http://schemas.openxmlformats.org/officeDocument/2006/relationships/hyperlink" Target="https://www.planalto.gov.br/ccivil_03/leis/l4320.htm" TargetMode="External"/><Relationship Id="rId14" Type="http://schemas.openxmlformats.org/officeDocument/2006/relationships/hyperlink" Target="https://www.planalto.gov.br/ccivil_03/leis/lcp/lcp101.htm" TargetMode="External"/><Relationship Id="rId15" Type="http://schemas.openxmlformats.org/officeDocument/2006/relationships/hyperlink" Target="https://www.tcm.ba.gov.br/conselheiros-recomendam-rejeicao-das-contas-de-barra-do-mendes-e-taperoa/" TargetMode="External"/><Relationship Id="rId16" Type="http://schemas.openxmlformats.org/officeDocument/2006/relationships/hyperlink" Target="https://www.tcm.ba.gov.br/sistemas/textos/2017/siaju/07325e17.odt.pdf" TargetMode="External"/><Relationship Id="rId17" Type="http://schemas.openxmlformats.org/officeDocument/2006/relationships/hyperlink" Target="https://www.tcm.ba.gov.br/sistemas/textos/2022/delib/12006e22.odt.pdf" TargetMode="External"/><Relationship Id="rId18" Type="http://schemas.openxmlformats.org/officeDocument/2006/relationships/hyperlink" Target="https://www.tcm.ba.gov.br/sistemas/textos/juris/02916-17.odt.pdf" TargetMode="External"/><Relationship Id="rId19" Type="http://schemas.openxmlformats.org/officeDocument/2006/relationships/hyperlink" Target="https://www.tcm.ba.gov.br/sistemas/textos/2025/voto/09809e25.odt.pdf" TargetMode="External"/><Relationship Id="rId20" Type="http://schemas.openxmlformats.org/officeDocument/2006/relationships/hyperlink" Target="https://www.tcm.ba.gov.br/consulta/jurisprudencia/consulta-ementario-juridico/" TargetMode="External"/><Relationship Id="rId21" Type="http://schemas.openxmlformats.org/officeDocument/2006/relationships/hyperlink" Target="https://www.gov.br/tesouronacional/pt-br/contabilidade-e-custos/manuais/manual-de-contabilidade-aplicada-ao-setor-publico-mcasp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Módulo 06 — Alterações Orçamentárias e Créditos Adicionais</dc:title>
  <dc:subject>Definições, espécies, recursos para abertura, atividades, limite por anulação e resposta técnica</dc:subject>
  <dc:creator>Elos Consultoria e Treinamento</dc:creator>
  <cp:keywords>CEAT, MPBA, TCM-BA, orçamento, créditos adicionais, suplementar, especial, extraordinário, anulação, LOA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