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48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CEAT · MINISTÉRIO PÚBLICO DO ESTADO DA BAHIA</w:t>
      </w:r>
    </w:p>
    <w:p>
      <w:pPr>
        <w:keepNext/>
        <w:spacing w:before="0" w:after="4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50"/>
        </w:rPr>
        <w:t>Metodologia de Auditoria</w:t>
      </w:r>
    </w:p>
    <w:p>
      <w:pPr>
        <w:keepNext/>
        <w:spacing w:before="0" w:after="16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41"/>
        </w:rPr>
        <w:t>Destinação e Rastreamento de Recursos do FUNDEB</w:t>
      </w:r>
    </w:p>
    <w:p>
      <w:pPr>
        <w:keepNext w:val="0"/>
        <w:spacing w:before="0" w:after="36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5F6B66"/>
          <w:sz w:val="26"/>
        </w:rPr>
        <w:t>Revisão técnica das considerações e rotinas de trabalho · Módulo 4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Documento analisado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t>Quesitos - Fundef-Fundeb V2.docx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Finalidade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Orientar os contadores do CEAT na produção de respostas técnicas rastreáveis, reproduzíveis e temporalmente corretas.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Escopo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t>FUNDEF/FUNDEB; receitas, deduções e despesas por exercício; precatórios; execução anual de 60%/70%; MDE 25%; Portal de Transferências, e-TCM, SIOPE, MSC/RREO; contas e ciclo da despesa.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Método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Regime temporal → origem → base → beneficiário/objeto → conta → cálculo → achado/limitação → resposta → revisão.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Controle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Material de apoio. Exige inteiro teor das normas, dados dos autos, validação jurídica de temas controvertidos e revisão humana.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Parecer executivo sobre o roteiro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O roteiro é tecnicamente aproveitável e os treze quesitos devem ser preservados. A principal correção é separar quatro regimes: execução anual histórica, execução anual permanente, precatórios do FUNDEF/FUNDEB e mínimo constitucional de MDE. Os procedimentos repetidos devem ser executados uma vez em papéis de trabalho comuns e referenciados em respostas autônomas.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Decisões sobre as considerações recebidas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300"/>
        <w:gridCol w:w="3320"/>
        <w:gridCol w:w="4740"/>
      </w:tblGrid>
      <w:tr>
        <w:trPr>
          <w:cantSplit/>
          <w:tblHeader w:val="true"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Decisão</w:t>
            </w:r>
          </w:p>
        </w:tc>
        <w:tc>
          <w:tcPr>
            <w:tcW w:type="dxa" w:w="33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Conteúdo</w:t>
            </w:r>
          </w:p>
        </w:tc>
        <w:tc>
          <w:tcPr>
            <w:tcW w:type="dxa" w:w="47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Tratamento</w:t>
            </w:r>
          </w:p>
        </w:tc>
      </w:tr>
      <w:tr>
        <w:trPr>
          <w:cantSplit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Manter</w:t>
            </w:r>
          </w:p>
        </w:tc>
        <w:tc>
          <w:tcPr>
            <w:tcW w:type="dxa" w:w="33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SIOPE, RREO, PC anual/e-TCM, MSC, extratos, fontes, empenho, liquidação, pagamento e parecer prévio.</w:t>
            </w:r>
          </w:p>
        </w:tc>
        <w:tc>
          <w:tcPr>
            <w:tcW w:type="dxa" w:w="47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Converter em testes com mesma rubrica, estágio, competência e versão.</w:t>
            </w:r>
          </w:p>
        </w:tc>
      </w:tr>
      <w:tr>
        <w:trPr>
          <w:cantSplit/>
        </w:trPr>
        <w:tc>
          <w:tcPr>
            <w:tcW w:type="dxa" w:w="1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Corrigir</w:t>
            </w:r>
          </w:p>
        </w:tc>
        <w:tc>
          <w:tcPr>
            <w:tcW w:type="dxa" w:w="332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Referência à 'Lei 13.113'.</w:t>
            </w:r>
          </w:p>
        </w:tc>
        <w:tc>
          <w:tcPr>
            <w:tcW w:type="dxa" w:w="47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Usar Lei nº 14.113/2020 e conferir alterações vigentes no fato.</w:t>
            </w:r>
          </w:p>
        </w:tc>
      </w:tr>
      <w:tr>
        <w:trPr>
          <w:cantSplit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Separar</w:t>
            </w:r>
          </w:p>
        </w:tc>
        <w:tc>
          <w:tcPr>
            <w:tcW w:type="dxa" w:w="33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60%/40% dos precatórios e 60%/70% da execução anual.</w:t>
            </w:r>
          </w:p>
        </w:tc>
        <w:tc>
          <w:tcPr>
            <w:tcW w:type="dxa" w:w="47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Aplicar matriz temporal antes de qualquer cálculo.</w:t>
            </w:r>
          </w:p>
        </w:tc>
      </w:tr>
      <w:tr>
        <w:trPr>
          <w:cantSplit/>
        </w:trPr>
        <w:tc>
          <w:tcPr>
            <w:tcW w:type="dxa" w:w="1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Ajustar</w:t>
            </w:r>
          </w:p>
        </w:tc>
        <w:tc>
          <w:tcPr>
            <w:tcW w:type="dxa" w:w="332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>
              <w:t>Fontes nacionais aplicadas retroativamente ou associação indevida entre a fonte histórica 96 e a fonte nacional 545.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</w:r>
          </w:p>
        </w:tc>
        <w:tc>
          <w:tcPr>
            <w:tcW w:type="dxa" w:w="47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>
              <w:t>Aplicar o código vigente no ano; para FUNDEF, 95/96 até 2022 e 544 a partir de 2023, com de-para 95/96 → 544 documentado.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</w:r>
          </w:p>
        </w:tc>
      </w:tr>
      <w:tr>
        <w:trPr>
          <w:cantSplit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Ajustar</w:t>
            </w:r>
          </w:p>
        </w:tc>
        <w:tc>
          <w:tcPr>
            <w:tcW w:type="dxa" w:w="33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Aplicação geral da Lei nº 14.133/2021 a todos os pagamentos.</w:t>
            </w:r>
          </w:p>
        </w:tc>
        <w:tc>
          <w:tcPr>
            <w:tcW w:type="dxa" w:w="47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Usar a lei de contratação apenas para aquisições/serviços; rateios seguem lei local e folha.</w:t>
            </w:r>
          </w:p>
        </w:tc>
      </w:tr>
      <w:tr>
        <w:trPr>
          <w:cantSplit/>
        </w:trPr>
        <w:tc>
          <w:tcPr>
            <w:tcW w:type="dxa" w:w="1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Incluir</w:t>
            </w:r>
          </w:p>
        </w:tc>
        <w:tc>
          <w:tcPr>
            <w:tcW w:type="dxa" w:w="332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Lei local, data do crédito, título judicial, juros de mora, rendimentos, aposentados/sucessores, CACS, restituições e contraditório.</w:t>
            </w:r>
          </w:p>
        </w:tc>
        <w:tc>
          <w:tcPr>
            <w:tcW w:type="dxa" w:w="47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Incorporar aos PT-01, PT-04, PT-05, PT-08 e PT-09.</w:t>
            </w:r>
          </w:p>
        </w:tc>
      </w:tr>
      <w:tr>
        <w:trPr>
          <w:cantSplit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Excluir</w:t>
            </w:r>
          </w:p>
        </w:tc>
        <w:tc>
          <w:tcPr>
            <w:tcW w:type="dxa" w:w="33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Nenhum quesito do demandante.</w:t>
            </w:r>
          </w:p>
        </w:tc>
        <w:tc>
          <w:tcPr>
            <w:tcW w:type="dxa" w:w="47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Eliminar apenas duplicação textual e comandos que induzam conclusão automática.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Linha de corte: qual regra aplicar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FF2CC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7A5A00"/>
                <w:sz w:val="19"/>
              </w:rPr>
              <w:t xml:space="preserve">Regra de entrada: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Nenhum cálculo começa pelo percentual. Começa pela identificação da origem do dinheiro, do período de referência, da data do recebimento e da natureza do componente financeiro.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080"/>
        <w:gridCol w:w="2370"/>
        <w:gridCol w:w="2840"/>
        <w:gridCol w:w="2070"/>
      </w:tblGrid>
      <w:tr>
        <w:trPr>
          <w:cantSplit/>
          <w:tblHeader w:val="true"/>
        </w:trPr>
        <w:tc>
          <w:tcPr>
            <w:tcW w:type="dxa" w:w="20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Situação</w:t>
            </w:r>
          </w:p>
        </w:tc>
        <w:tc>
          <w:tcPr>
            <w:tcW w:type="dxa" w:w="23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Regra principal</w:t>
            </w:r>
          </w:p>
        </w:tc>
        <w:tc>
          <w:tcPr>
            <w:tcW w:type="dxa" w:w="28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Beneficiário/finalidade</w:t>
            </w:r>
          </w:p>
        </w:tc>
        <w:tc>
          <w:tcPr>
            <w:tcW w:type="dxa" w:w="20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Teste de corte</w:t>
            </w:r>
          </w:p>
        </w:tc>
      </w:tr>
      <w:tr>
        <w:trPr>
          <w:cantSplit/>
        </w:trPr>
        <w:tc>
          <w:tcPr>
            <w:tcW w:type="dxa" w:w="20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FUNDEB anual 2019–2020</w:t>
            </w:r>
          </w:p>
        </w:tc>
        <w:tc>
          <w:tcPr>
            <w:tcW w:type="dxa" w:w="23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Mínimo de 60% · Lei nº 11.494/2007, art. 22</w:t>
            </w:r>
          </w:p>
        </w:tc>
        <w:tc>
          <w:tcPr>
            <w:tcW w:type="dxa" w:w="28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Profissionais do magistério em efetivo exercício; saldo em MDE</w:t>
            </w:r>
          </w:p>
        </w:tc>
        <w:tc>
          <w:tcPr>
            <w:tcW w:type="dxa" w:w="20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Exercício e MDF anual; não misturar precatórios</w:t>
            </w:r>
          </w:p>
        </w:tc>
      </w:tr>
      <w:tr>
        <w:trPr>
          <w:cantSplit/>
        </w:trPr>
        <w:tc>
          <w:tcPr>
            <w:tcW w:type="dxa" w:w="20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FUNDEB anual 2021–2023</w:t>
            </w:r>
          </w:p>
        </w:tc>
        <w:tc>
          <w:tcPr>
            <w:tcW w:type="dxa" w:w="237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Mínimo de 70% · Lei nº 14.113/2020, art. 26</w:t>
            </w:r>
          </w:p>
        </w:tc>
        <w:tc>
          <w:tcPr>
            <w:tcW w:type="dxa" w:w="28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Profissionais da educação básica em efetivo exercício; VAAR fora da base</w:t>
            </w:r>
          </w:p>
        </w:tc>
        <w:tc>
          <w:tcPr>
            <w:tcW w:type="dxa" w:w="207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Exercício, MDF e definição vigente</w:t>
            </w:r>
          </w:p>
        </w:tc>
      </w:tr>
      <w:tr>
        <w:trPr>
          <w:cantSplit/>
        </w:trPr>
        <w:tc>
          <w:tcPr>
            <w:tcW w:type="dxa" w:w="20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Precatório FUNDEF recebido antes de 17/12/2021</w:t>
            </w:r>
          </w:p>
        </w:tc>
        <w:tc>
          <w:tcPr>
            <w:tcW w:type="dxa" w:w="23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TCU mantém vedação ao rateio</w:t>
            </w:r>
          </w:p>
        </w:tc>
        <w:tc>
          <w:tcPr>
            <w:tcW w:type="dxa" w:w="28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Aplicação em MDE conforme regime então aplicável</w:t>
            </w:r>
          </w:p>
        </w:tc>
        <w:tc>
          <w:tcPr>
            <w:tcW w:type="dxa" w:w="20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Data bancária anterior à vigência da EC nº 114/2021</w:t>
            </w:r>
          </w:p>
        </w:tc>
      </w:tr>
      <w:tr>
        <w:trPr>
          <w:cantSplit/>
        </w:trPr>
        <w:tc>
          <w:tcPr>
            <w:tcW w:type="dxa" w:w="20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Precatório FUNDEF recebido a partir de 17/12/2021</w:t>
            </w:r>
          </w:p>
        </w:tc>
        <w:tc>
          <w:tcPr>
            <w:tcW w:type="dxa" w:w="237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Mínimo de 60% via abono; lei local específica</w:t>
            </w:r>
          </w:p>
        </w:tc>
        <w:tc>
          <w:tcPr>
            <w:tcW w:type="dxa" w:w="28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Magistério do período 1997–2006; casos inativos/sucessórios conforme norma</w:t>
            </w:r>
          </w:p>
        </w:tc>
        <w:tc>
          <w:tcPr>
            <w:tcW w:type="dxa" w:w="207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EC nº 114/2021 + Lei nº 14.325/2022 + Acórdão TCU nº 1.893/2022</w:t>
            </w:r>
          </w:p>
        </w:tc>
      </w:tr>
      <w:tr>
        <w:trPr>
          <w:cantSplit/>
        </w:trPr>
        <w:tc>
          <w:tcPr>
            <w:tcW w:type="dxa" w:w="20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Precatório FUNDEB 2007–2020</w:t>
            </w:r>
          </w:p>
        </w:tc>
        <w:tc>
          <w:tcPr>
            <w:tcW w:type="dxa" w:w="23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Regime extraordinário do art. 47-A; referência histórica de 60%</w:t>
            </w:r>
          </w:p>
        </w:tc>
        <w:tc>
          <w:tcPr>
            <w:tcW w:type="dxa" w:w="28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Magistério em efetivo exercício no período do repasse a menor</w:t>
            </w:r>
          </w:p>
        </w:tc>
        <w:tc>
          <w:tcPr>
            <w:tcW w:type="dxa" w:w="20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Lei nº 14.325/2022, título e lei local; revisar fatos anteriores à vigência</w:t>
            </w:r>
          </w:p>
        </w:tc>
      </w:tr>
      <w:tr>
        <w:trPr>
          <w:cantSplit/>
        </w:trPr>
        <w:tc>
          <w:tcPr>
            <w:tcW w:type="dxa" w:w="20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Crédito judicial do FUNDEB permanente</w:t>
            </w:r>
          </w:p>
        </w:tc>
        <w:tc>
          <w:tcPr>
            <w:tcW w:type="dxa" w:w="237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Art. 47-A e regime originário VAAF/VAAT; referência de 70%</w:t>
            </w:r>
          </w:p>
        </w:tc>
        <w:tc>
          <w:tcPr>
            <w:tcW w:type="dxa" w:w="28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Profissionais da educação básica do período do repasse a menor</w:t>
            </w:r>
          </w:p>
        </w:tc>
        <w:tc>
          <w:tcPr>
            <w:tcW w:type="dxa" w:w="207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Título, parcela VAAF/VAAT, norma vigente e lei local</w:t>
            </w:r>
          </w:p>
        </w:tc>
      </w:tr>
      <w:tr>
        <w:trPr>
          <w:cantSplit/>
        </w:trPr>
        <w:tc>
          <w:tcPr>
            <w:tcW w:type="dxa" w:w="20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MDE 25%</w:t>
            </w:r>
          </w:p>
        </w:tc>
        <w:tc>
          <w:tcPr>
            <w:tcW w:type="dxa" w:w="23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Mínimo constitucional independente</w:t>
            </w:r>
          </w:p>
        </w:tc>
        <w:tc>
          <w:tcPr>
            <w:tcW w:type="dxa" w:w="28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Despesas dos arts. 70/71 da LDB segundo MDF</w:t>
            </w:r>
          </w:p>
        </w:tc>
        <w:tc>
          <w:tcPr>
            <w:tcW w:type="dxa" w:w="207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Base de impostos/transferências; nunca compensar com 60%/70%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Componentes financeiros que não podem ser misturados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300"/>
        <w:gridCol w:w="7060"/>
      </w:tblGrid>
      <w:tr>
        <w:trPr>
          <w:cantSplit/>
          <w:tblHeader w:val="true"/>
        </w:trPr>
        <w:tc>
          <w:tcPr>
            <w:tcW w:type="dxa" w:w="2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Componente</w:t>
            </w:r>
          </w:p>
        </w:tc>
        <w:tc>
          <w:tcPr>
            <w:tcW w:type="dxa" w:w="70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Tratamento de auditoria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Principal vinculado</w:t>
            </w:r>
          </w:p>
        </w:tc>
        <w:tc>
          <w:tcPr>
            <w:tcW w:type="dxa" w:w="70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Identificar no título/memória judicial; aplicar a destinação e o percentual do regime correspondente.</w:t>
            </w:r>
          </w:p>
        </w:tc>
      </w:tr>
      <w:tr>
        <w:trPr>
          <w:cantSplit/>
        </w:trPr>
        <w:tc>
          <w:tcPr>
            <w:tcW w:type="dxa" w:w="2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Atualização monetária</w:t>
            </w:r>
          </w:p>
        </w:tc>
        <w:tc>
          <w:tcPr>
            <w:tcW w:type="dxa" w:w="70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Verificar se integra o principal atualizado no título e documentar a base adotada.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Juros de mora do título</w:t>
            </w:r>
          </w:p>
        </w:tc>
        <w:tc>
          <w:tcPr>
            <w:tcW w:type="dxa" w:w="70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Segregar documental, bancária e contabilmente. Examinar ADPF 528 e jurisprudência do TCU; livre utilização não deve ser presumida quando misturados ao principal.</w:t>
            </w:r>
          </w:p>
        </w:tc>
      </w:tr>
      <w:tr>
        <w:trPr>
          <w:cantSplit/>
        </w:trPr>
        <w:tc>
          <w:tcPr>
            <w:tcW w:type="dxa" w:w="2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Rendimentos de aplicação</w:t>
            </w:r>
          </w:p>
        </w:tc>
        <w:tc>
          <w:tcPr>
            <w:tcW w:type="dxa" w:w="70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Mantêm a finalidade do recurso aplicado. Não confundir com juros de mora; documentar se integram ou não a base individual do rateio.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Honorários/retenções</w:t>
            </w:r>
          </w:p>
        </w:tc>
        <w:tc>
          <w:tcPr>
            <w:tcW w:type="dxa" w:w="70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Conferir título, decisão, contrato e pagamento; não reduzir a base vinculada sem fundamento expresso.</w:t>
            </w:r>
          </w:p>
        </w:tc>
      </w:tr>
      <w:tr>
        <w:trPr>
          <w:cantSplit/>
        </w:trPr>
        <w:tc>
          <w:tcPr>
            <w:tcW w:type="dxa" w:w="2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Ressarcimentos/reposições</w:t>
            </w:r>
          </w:p>
        </w:tc>
        <w:tc>
          <w:tcPr>
            <w:tcW w:type="dxa" w:w="70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Registrar como recomposição da fonte/conta e rastrear a reaplicação; não tratar como nova receita livre.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Ajustes técnicos determinantes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percentual de até 40% dos precatórios é residual: não constitui obrigação de gastar exatamente 40%, mas limite do montante que resta após o mínimo destinado aos profissionais, sempre em finalidade elegível.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base de 70% do art. 26 exclui a complementação-VAAR. Os 5%/25% externos ao Fundo integram a apuração de MDE e o cálculo de disponibilidade do VAAT em contexto próprio, mas não entram automaticamente no denominador da remuneração.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fonte/destinação é trilha de controle, não prova conclusiva. Até 2022, nos municípios baianos, as fontes 95 e 96 identificavam recursos de precatórios do FUNDEF, conforme a Resolução TCM-BA nº 1.268/2008 consolidada. A partir de 2023, a fonte nacional 544 identifica os recursos de precatórios do FUNDEF. Para comparabilidade histórica, registrar 95 → 544 e 96 → 544, preservando código original, conta, detalhamento e documentos do ingresso. A fonte 545 é distinta e não integra esse de-para.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SIOPE, RREO, MSC e e-TCM possuem granularidades, estágios e versões diferentes. Divergência deve ser reconciliada antes de ser tratada como erro.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Prática adotada por outros entes não substitui lei e MDF. Estudos comparados devem usar documentos oficiais do mesmo exercício e declarar limitações.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Lei nº 14.133/2021 é pertinente às aquisições e aos serviços; não é critério da concessão de abono/rateio, que depende de norma específica, memória individual e ciclo orçamentário.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Rendimentos de aplicação e juros de mora têm origens distintas. A conta única não autoriza presumir que parte do dinheiro é livre; a segregação precisa ser demonstrada.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conclusão deve permanecer em linguagem contábil. Retroatividade, direito individual, prescrição, responsabilidade e sanções exigem análise jurídica própria.</w:t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Arquitetura dos papéis de trabalho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000"/>
        <w:gridCol w:w="5460"/>
        <w:gridCol w:w="2900"/>
      </w:tblGrid>
      <w:tr>
        <w:trPr>
          <w:cantSplit/>
          <w:tblHeader w:val="true"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PT</w:t>
            </w:r>
          </w:p>
        </w:tc>
        <w:tc>
          <w:tcPr>
            <w:tcW w:type="dxa" w:w="5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Finalidade</w:t>
            </w:r>
          </w:p>
        </w:tc>
        <w:tc>
          <w:tcPr>
            <w:tcW w:type="dxa" w:w="2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Quesitos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PT-01</w:t>
            </w:r>
          </w:p>
        </w:tc>
        <w:tc>
          <w:tcPr>
            <w:tcW w:type="dxa" w:w="5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Inventário de créditos, título judicial, parcelas, componentes e matriz temporal</w:t>
            </w:r>
          </w:p>
        </w:tc>
        <w:tc>
          <w:tcPr>
            <w:tcW w:type="dxa" w:w="2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Todos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PT-02</w:t>
            </w:r>
          </w:p>
        </w:tc>
        <w:tc>
          <w:tcPr>
            <w:tcW w:type="dxa" w:w="54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Contas, fontes/destinações, razão e conciliação bancária-contábil</w:t>
            </w:r>
          </w:p>
        </w:tc>
        <w:tc>
          <w:tcPr>
            <w:tcW w:type="dxa" w:w="2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QE-01; QT-01 a QT-03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PT-03</w:t>
            </w:r>
          </w:p>
        </w:tc>
        <w:tc>
          <w:tcPr>
            <w:tcW w:type="dxa" w:w="5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Apuração anual 60%/70% por exercício e MDF</w:t>
            </w:r>
          </w:p>
        </w:tc>
        <w:tc>
          <w:tcPr>
            <w:tcW w:type="dxa" w:w="2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QV-01; QV-03; QV-05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PT-04</w:t>
            </w:r>
          </w:p>
        </w:tc>
        <w:tc>
          <w:tcPr>
            <w:tcW w:type="dxa" w:w="54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Lei local, população elegível e rateio individual</w:t>
            </w:r>
          </w:p>
        </w:tc>
        <w:tc>
          <w:tcPr>
            <w:tcW w:type="dxa" w:w="2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QE-01; QE-02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PT-05</w:t>
            </w:r>
          </w:p>
        </w:tc>
        <w:tc>
          <w:tcPr>
            <w:tcW w:type="dxa" w:w="5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Classificação MDE/não MDE por transação</w:t>
            </w:r>
          </w:p>
        </w:tc>
        <w:tc>
          <w:tcPr>
            <w:tcW w:type="dxa" w:w="2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QE-03; QT-02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PT-06</w:t>
            </w:r>
          </w:p>
        </w:tc>
        <w:tc>
          <w:tcPr>
            <w:tcW w:type="dxa" w:w="54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Conciliação RREO × SIOPE × razão × MSC × e-TCM</w:t>
            </w:r>
          </w:p>
        </w:tc>
        <w:tc>
          <w:tcPr>
            <w:tcW w:type="dxa" w:w="2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QV-01 a QV-03; QV-06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PT-07</w:t>
            </w:r>
          </w:p>
        </w:tc>
        <w:tc>
          <w:tcPr>
            <w:tcW w:type="dxa" w:w="5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Práticas comparadas e cenários GIPE/Município</w:t>
            </w:r>
          </w:p>
        </w:tc>
        <w:tc>
          <w:tcPr>
            <w:tcW w:type="dxa" w:w="2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QV-03 a QV-05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PT-08</w:t>
            </w:r>
          </w:p>
        </w:tc>
        <w:tc>
          <w:tcPr>
            <w:tcW w:type="dxa" w:w="54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Ciclo da despesa: empenho, liquidação, pagamento e beneficiário</w:t>
            </w:r>
          </w:p>
        </w:tc>
        <w:tc>
          <w:tcPr>
            <w:tcW w:type="dxa" w:w="2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QT-04; QE-01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PT-09</w:t>
            </w:r>
          </w:p>
        </w:tc>
        <w:tc>
          <w:tcPr>
            <w:tcW w:type="dxa" w:w="5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MDE 25%, matriz de achados, respostas, contraditório e revisão</w:t>
            </w:r>
          </w:p>
        </w:tc>
        <w:tc>
          <w:tcPr>
            <w:tcW w:type="dxa" w:w="2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QV-06 e todos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Fluxo mínimo de execução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Delimitar ente, exercícios, data de corte, processos judiciais, parcelas, contas, unidades gestoras e sistemas disponíveis.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Preservar arquivos, versões, recibos, filtros, data de extração, página/linha/registro e responsável pela coleta.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Executar PT-01 e fixar o regime temporal antes de qualquer percentual ou classificação de beneficiário.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Reconciliar banco, razão e fontes e formar a população integral de créditos, transferências, pagamentos, aplicações e saldos.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Executar separadamente: rateio extraordinário; indicador anual 60%/70%; destinação MDE; e mínimo constitucional de 25%.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Quantificar diferenças e achados, solicitar documentos específicos, testar a manifestação e submeter a minuta à revisão contábil e jurídica.</w:t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Documentos mínimos por bloco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100"/>
        <w:gridCol w:w="7260"/>
      </w:tblGrid>
      <w:tr>
        <w:trPr>
          <w:cantSplit/>
          <w:tblHeader w:val="true"/>
        </w:trPr>
        <w:tc>
          <w:tcPr>
            <w:tcW w:type="dxa" w:w="21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Bloco</w:t>
            </w:r>
          </w:p>
        </w:tc>
        <w:tc>
          <w:tcPr>
            <w:tcW w:type="dxa" w:w="72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Pacote mínimo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Crédito judicial</w:t>
            </w:r>
          </w:p>
        </w:tc>
        <w:tc>
          <w:tcPr>
            <w:tcW w:type="dxa" w:w="72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Título, processo, memória, data/parcela, principal/juros, conta, extrato, lei local, plano de aplicação e pareceres.</w:t>
            </w:r>
          </w:p>
        </w:tc>
      </w:tr>
      <w:tr>
        <w:trPr>
          <w:cantSplit/>
        </w:trPr>
        <w:tc>
          <w:tcPr>
            <w:tcW w:type="dxa" w:w="21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Rateio</w:t>
            </w:r>
          </w:p>
        </w:tc>
        <w:tc>
          <w:tcPr>
            <w:tcW w:type="dxa" w:w="72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Lei/ato, lista integral, CPF, cargo, vínculo, período, jornada, meses, afastamentos, aposentadoria/sucessão, memória e banco.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Execução anual</w:t>
            </w:r>
          </w:p>
        </w:tc>
        <w:tc>
          <w:tcPr>
            <w:tcW w:type="dxa" w:w="72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RREO Anexo 8, MDF/mapeamento do ano, SIOPE, razão por fonte, MSC, folha elegível, e-TCM e parecer prévio.</w:t>
            </w:r>
          </w:p>
        </w:tc>
      </w:tr>
      <w:tr>
        <w:trPr>
          <w:cantSplit/>
        </w:trPr>
        <w:tc>
          <w:tcPr>
            <w:tcW w:type="dxa" w:w="21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Outras MDE</w:t>
            </w:r>
          </w:p>
        </w:tc>
        <w:tc>
          <w:tcPr>
            <w:tcW w:type="dxa" w:w="72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Plano, dotação, processo, contratação, objeto, nota, atesto/medição, liquidação, pagamento, unidade e ativo.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Contas</w:t>
            </w:r>
          </w:p>
        </w:tc>
        <w:tc>
          <w:tcPr>
            <w:tcW w:type="dxa" w:w="72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Cadastro de contas, extratos integrais de movimento/aplicação, comprovantes, conciliações, contas de destino e restituições.</w:t>
            </w:r>
          </w:p>
        </w:tc>
      </w:tr>
      <w:tr>
        <w:trPr>
          <w:cantSplit/>
        </w:trPr>
        <w:tc>
          <w:tcPr>
            <w:tcW w:type="dxa" w:w="21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MDE 25%</w:t>
            </w:r>
          </w:p>
        </w:tc>
        <w:tc>
          <w:tcPr>
            <w:tcW w:type="dxa" w:w="72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Receitas de impostos/transferências, despesas MDE, deduções, RP, cancelamentos, RREO, SIOPE, MSC e e-TCM.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Prompt mestre de análise</w:t>
      </w:r>
    </w:p>
    <w:p>
      <w:pPr>
        <w:keepNext w:val="0"/>
        <w:spacing w:before="0" w:after="16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5F6B66"/>
          <w:sz w:val="20"/>
        </w:rPr>
        <w:t>Utilize este bloco com o complemento específico de cada quesito. Substitua os campos entre colchetes e forneça os arquivos/exportações correspondentes.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Atue como contador/auditor governamental especializado na fiscalização de recursos do FUNDEF/FUNDEB no âmbito municipal da Bahia. Analise o Município [MUNICÍPIO], exercícios [ANOS], processo judicial [PROCESSO], parcelas [PARCELAS] e data de corte [DATA].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REGRAS DE EVIDÊNCIA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Trabalhe somente com documentos e exportações efetivamente fornecidos. Não afirme acesso direto a SIOPE, Siconfi/MSC, SIGA/e-TCM, Portal de Transferências ou bancos se a consulta/arquivo não estiver anexado.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Para cada fato, indique arquivo, página/linha/registro, competência, versão e data de extração. Não invente valores, contas, fontes, beneficiários, normas locais ou justificativas.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Antes de calcular, classifique: execução anual 2007–2020; execução anual permanente; precatório FUNDEF; precatório FUNDEB 2007–2020; crédito judicial do Fundeb permanente; MDE 25%; ou outro recurso.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Separe principal, atualização, juros de mora do título, rendimentos de aplicação, honorários/retenções e ressarcimentos. Não presuma que todos integram a mesma base.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Diferencie critério legal, entendimento jurisprudencial, orientação técnica, fato comprovado, indício, limitação, diligência e questão jurídica.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Não conclua irregularidade apenas por divergência entre sistemas, percentual de uma memória, ausência de código atual em exercício histórico ou prática de outro Município.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Use a norma e o MDF vigentes no exercício/fato. Não aplique retroativamente código de fonte, leiaute ou orientação posterior.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SAÍDA OBRIGATÓRIA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Resposta direta: atendido, parcialmente atendido, não atendido ou inconclusivo.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Escopo: anos, parcelas, contas, população, valor e cobertura dos testes.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Matriz temporal e critérios aplicados.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Matriz de evidências com documento/localizador, data, valor e teste suportado.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Procedimentos e memórias de cálculo reproduzíveis.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Conciliação entre banco, razão, fonte, RREO, SIOPE, MSC e e-TCM, conforme o bloco.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7. Achados: critério, condição, causa provável, efeito/risco, valor e evidência.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8. Limitações e diligências específicas.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9. Minuta de resposta técnica sem imputação pessoal e com indicação do que depende de revisão jurídica.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Antes de concluir, confira se percentuais, totais e saldos coincidem com os papéis de trabalho e se a conclusão não é mais categórica que a evidência.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1"/>
        <w:pageBreakBefore/>
      </w:pPr>
      <w:r>
        <w:t>Atualização V2 — conciliação de receitas e despesas</w:t>
      </w:r>
    </w:p>
    <w:p>
      <w:pPr/>
      <w:r>
        <w:t>O anexo V2 foi tratado como fonte principal dos quesitos. Esta revisão acrescenta testes específicos de receitas, deduções para formação do Fundo, despesas por estágio e rastreabilidade entre Portal de Transferências, e-TCM, SIOPE e MSC/Siconfi.</w:t>
      </w:r>
    </w:p>
    <w:p>
      <w:pPr>
        <w:pStyle w:val="Heading2"/>
      </w:pPr>
      <w:r>
        <w:t>Avaliação técnica das orientações recebidas</w:t>
      </w:r>
    </w:p>
    <w:p>
      <w:pPr>
        <w:pStyle w:val="ListBullet"/>
      </w:pPr>
      <w:r>
        <w:t>As orientações são adequadas para orientar a coleta multissistema e a resposta aos treze quesitos, desde que se comparem valores equivalentes, no mesmo exercício, competência, estágio e versão do demonstrativo.</w:t>
      </w:r>
    </w:p>
    <w:p>
      <w:pPr>
        <w:pStyle w:val="ListBullet"/>
      </w:pPr>
      <w:r>
        <w:t>Linha de corte: até 2022, usar as fontes 95 e 96 para recursos de precatórios do FUNDEF, conforme a Resolução TCM-BA nº 1.268/2008 consolidada. A partir de 2023, usar a fonte 544 para precatórios do FUNDEF. Registrar o de-para 95 → 544 e 96 → 544 sem alterar a evidência histórica. A fonte 545 corresponde separadamente a precatórios do FUNDEB (2007–2020), foi incluída pela Portaria STN/MF nº 1.181/2024 e não é sucessora da fonte 96.</w:t>
      </w:r>
    </w:p>
    <w:p>
      <w:pPr>
        <w:pStyle w:val="ListBullet"/>
      </w:pPr>
      <w:r>
        <w:t>A natureza 1.7.1.9.56.0.0 identifica transferências decorrentes de decisão judicial relativas ao FUNDEF; a natureza 1.7.5.1.50.0.0 identifica recursos do FUNDEB recebidos diretamente. O código 9.1.7.1.50.0.0, quando exibido em exportações, deve ser tratado como registro redutor/dedução e validado contra o leiaute e o ementário do exercício, nunca somado como receita positiva recebida.</w:t>
      </w:r>
    </w:p>
    <w:p>
      <w:pPr>
        <w:pStyle w:val="ListBullet"/>
      </w:pPr>
      <w:r>
        <w:t>A dedução para formação do FUNDEB e o crédito recebido do Fundo são fluxos distintos. A diferença entre eles expressa o efeito redistributivo do Fundo e, isoladamente, não caracteriza irregularidade.</w:t>
      </w:r>
    </w:p>
    <w:p>
      <w:pPr>
        <w:pStyle w:val="Heading2"/>
      </w:pPr>
      <w:r>
        <w:t>Modelo mínimo de dados e evidências</w:t>
      </w:r>
    </w:p>
    <w:p>
      <w:pPr>
        <w:pStyle w:val="ListBullet"/>
      </w:pPr>
      <w:r>
        <w:t>Preservar os arquivos originais em PDF, XLSX e CSV; registrar origem, URL, data/hora de extração, período, versão, página/linha ou célula, hash ou identificador e responsável. Trabalhar somente em cópia controlada.</w:t>
      </w:r>
    </w:p>
    <w:p>
      <w:pPr>
        <w:pStyle w:val="ListBullet"/>
      </w:pPr>
      <w:r>
        <w:t>Chave de conciliação: ente + exercício + competência + tipo do recurso + camada da receita ou estágio da despesa + natureza + fonte/CO original. Registrar o código padronizado apenas em coluna adicional.</w:t>
      </w:r>
    </w:p>
    <w:p>
      <w:pPr>
        <w:pStyle w:val="ListBullet"/>
      </w:pPr>
      <w:r>
        <w:t>A ausência de arquivo, campo ou chave impede conclusão positiva: registrar limitação e diligência específica, sem preencher lacunas por estimativa não documentada.</w:t>
      </w:r>
    </w:p>
    <w:p>
      <w:pPr>
        <w:pStyle w:val="Heading2"/>
      </w:pPr>
      <w:r>
        <w:t>Protocolo de reconciliação das receitas</w:t>
      </w:r>
    </w:p>
    <w:p>
      <w:pPr>
        <w:pStyle w:val="ListNumber"/>
      </w:pPr>
      <w:r>
        <w:t>Inventariar e validar a integridade dos arquivos extraídos de cada portal.</w:t>
      </w:r>
    </w:p>
    <w:p>
      <w:pPr>
        <w:pStyle w:val="ListNumber"/>
      </w:pPr>
      <w:r>
        <w:t>Separar as camadas: transferência constitucional bruta; dedução para formação do FUNDEB; transferência líquida do tributo; crédito do FUNDEB; precatório; e rendimento de aplicação.</w:t>
      </w:r>
    </w:p>
    <w:p>
      <w:pPr>
        <w:pStyle w:val="ListNumber"/>
      </w:pPr>
      <w:r>
        <w:t>Extrair do Portal de Transferências o valor do crédito ou da dedução identificável; do e-TCM, o demonstrativo de receita e o razão; do SIOPE, os relatórios do RREO; e da MSC, os saldos agregados da mesma competência.</w:t>
      </w:r>
    </w:p>
    <w:p>
      <w:pPr>
        <w:pStyle w:val="ListNumber"/>
      </w:pPr>
      <w:r>
        <w:t>Normalizar sinais sem perder o valor original. Deduções permanecem em coluna própria; estornos e anulações devem ser individualizados.</w:t>
      </w:r>
    </w:p>
    <w:p>
      <w:pPr>
        <w:pStyle w:val="ListNumber"/>
      </w:pPr>
      <w:r>
        <w:t>Comparar apenas a mesma camada e a mesma base temporal. Maior diferença = maior valor entre as fontes − menor valor entre as fontes. Aplicar tolerância previamente aprovada e registrar sua justificativa.</w:t>
      </w:r>
    </w:p>
    <w:p>
      <w:pPr>
        <w:pStyle w:val="ListNumber"/>
      </w:pPr>
      <w:r>
        <w:t>Para toda divergência, identificar rubrica, período, valor, documento, causa comprovada ou hipótese de trabalho, efeito e diligência. Não compensar divergências entre rubricas sem memória de cálculo.</w:t>
      </w:r>
    </w:p>
    <w:p>
      <w:pPr>
        <w:pStyle w:val="Heading2"/>
      </w:pPr>
      <w:r>
        <w:t>Teste específico da dedução para formação do FUNDEB</w:t>
      </w:r>
    </w:p>
    <w:p>
      <w:pPr>
        <w:pStyle w:val="ListBullet"/>
      </w:pPr>
      <w:r>
        <w:t>Reconstruir a base por transferência constitucional e aplicar a alíquota legal do exercício. Dedução esperada = soma das bases legalmente sujeitas ao Fundo × alíquota aplicável. Confrontar Portal, e-TCM e MSC.</w:t>
      </w:r>
    </w:p>
    <w:p>
      <w:pPr>
        <w:pStyle w:val="ListBullet"/>
      </w:pPr>
      <w:r>
        <w:t>Apurar o crédito do FUNDEB separadamente pela natureza 1.7.5.1.50.0.0 e, quando houver, segregá-lo por fonte/CO e complementação. Resultado redistributivo = crédito recebido − dedução calculada; apresentar como indicador descritivo, não como achado automático.</w:t>
      </w:r>
    </w:p>
    <w:p>
      <w:pPr>
        <w:pStyle w:val="ListBullet"/>
      </w:pPr>
      <w:r>
        <w:t>Nos exercícios alcançados por códigos locais, manter a classificação histórica e anexar a tabela de de-para com fundamento, vigência, código original e código nacional de análise.</w:t>
      </w:r>
    </w:p>
    <w:p>
      <w:pPr>
        <w:pStyle w:val="Heading2"/>
      </w:pPr>
      <w:r>
        <w:t>Protocolo de reconciliação das despesas</w:t>
      </w:r>
    </w:p>
    <w:p>
      <w:pPr>
        <w:pStyle w:val="ListNumber"/>
      </w:pPr>
      <w:r>
        <w:t>Extrair do demonstrativo de despesa do e-TCM, da MSC e do SIOPE os valores por exercício, competência, fonte/CO, função/subfunção, natureza da despesa e estágio: empenhado, liquidado e pago.</w:t>
      </w:r>
    </w:p>
    <w:p>
      <w:pPr>
        <w:pStyle w:val="ListNumber"/>
      </w:pPr>
      <w:r>
        <w:t>Confrontar o mesmo estágio entre sistemas. Não comparar pagamento de uma fonte com empenho de outra nem total anual com competência parcial.</w:t>
      </w:r>
    </w:p>
    <w:p>
      <w:pPr>
        <w:pStyle w:val="ListNumber"/>
      </w:pPr>
      <w:r>
        <w:t>Classificar a elegibilidade pelo objeto e pela evidência da entrega, nos termos da Lei nº 14.113/2020 e dos arts. 70 e 71 da LDB; o código contábil, sozinho, não comprova MDE ou despesa com profissionais da educação básica.</w:t>
      </w:r>
    </w:p>
    <w:p>
      <w:pPr>
        <w:pStyle w:val="ListNumber"/>
      </w:pPr>
      <w:r>
        <w:t>Selecionar amostra com cobertura de itens materiais, lançamentos de risco e seleção aleatória. Para cada item, ligar dotação, empenho, liquidação, atesto, pagamento, extrato e beneficiário/objeto.</w:t>
      </w:r>
    </w:p>
    <w:p>
      <w:pPr>
        <w:pStyle w:val="Heading2"/>
      </w:pPr>
      <w:r>
        <w:t>Papéis de trabalho acrescentados</w:t>
      </w:r>
    </w:p>
    <w:p>
      <w:pPr>
        <w:pStyle w:val="ListBullet"/>
      </w:pPr>
      <w:r>
        <w:t>02A_Regra_Fontes — código histórico e de-para; 15_Recon_Receitas — conciliação por camada; 16_Deducao_FUNDEB — reconstrução da dedução e resultado redistributivo; 17_Recon_Despesas — comparação por estágio; 18_Rastreabilidade_V2 — requisito, procedimento, evidência e saída.</w:t>
      </w:r>
    </w:p>
    <w:p>
      <w:pPr>
        <w:pStyle w:val="ListBullet"/>
      </w:pPr>
      <w:r>
        <w:t>O prompt operacional autônomo acompanha o kit. Ele exige análise integral dos arquivos antes da conclusão, citação do localizador de cada evidência, indicação de limitações e revisão humana obrigatória.</w:t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QE-01 · Destinação dos pagamentos do precatório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Os pagamentos discriminados pelo Município estão de acordo com a destinação legal dos recursos extraordinários?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Manter, mas iniciar pela identificação do regime jurídico de cada crédito. A fonte contábil, isoladamente, não prova que se trata de principal vinculado, juros de mora, rendimento de aplicação ou ressarcimento.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Classificar cada ingresso e cada pagamento segundo origem judicial, período de referência, data de recebimento, parcela, componente financeiro, beneficiário e finalidade.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Aplicação do percentual errado; rateio de crédito anterior à linha de corte; beneficiário inelegível; mistura entre principal, juros de mora e rendimentos; despesa não MDE; fonte ou conta incompatível; pagamento sem lei local.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EC nº 114/2021, art. 5º; Lei nº 14.113/2020, art. 47-A; Lei nº 14.325/2022; Lei nº 9.424/1996 ou Lei nº 11.494/2007, conforme a origem; LDB, arts. 70 e 71; Acórdão TCU nº 1.893/2022-Plenário; normas do TCM-BA e lei local.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Título judicial, precatório/RPV e memória de cálculo; data e conta do crédito; identificação de principal e juros; lei local; plano de aplicação; folhas de rateio; vínculos históricos; processos MDE; extratos e registros contábeis.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Não transportar automaticamente a regra anual de 70% para precatório do FUNDEF. Tampouco presumir que todo valor creditado na mesma conta possui a mesma natureza. Se o título ou a memória judicial não segregar os componentes, registrar limitação e solicitar esclarecimento.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Formar inventário de cada parcela recebida: processo judicial, período a que se refere, data do crédito, valor bruto, principal, atualização, juros de mora, retenções, honorários e conta bancária.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Aplicar a matriz temporal deste documento antes de examinar pagamentos: Fundo originário, período do repasse a menor, data de recebimento e norma vigente.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Vincular cada débito a folha, beneficiário, processo de despesa, objeto MDE, empenho, liquidação, ordem bancária e favorecido final.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rateios, verificar lei específica local, percentual, critérios, lista de elegíveis, jornada, meses de efetivo exercício e natureza indenizatória.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outras despesas, identificar o objeto real e confrontá-lo com a área prioritária do Município e com os arts. 70 e 71 da LDB.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Conferir se aplicações e rendimentos retornaram à trilha do recurso; tratar juros de mora do título judicial em papel separado, com fundamento jurisprudencial e segregação comprovada.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Quantificar pagamentos conformes, não conformes e inconclusivos, sem compensar falhas entre parcelas, contas ou regimes.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Recursos rastreados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Saldo inicial + créditos identificados + rendimentos - débitos identificados = saldo final conciliado, por conta e parcela.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Cobertura documental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com trilha completa ÷ total de débitos. Informar também quantidade de transações cobertas.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Classificação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Somar separadamente rateio elegível, outras MDE, não MDE, juros segregados e itens inconclusivos.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Exceção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da transação questionada, sua parcela, beneficiário/objeto e efeito sobre a destinação aplicável.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Responder por parcela e natureza do ingresso. A conclusão deve dizer qual regime foi aplicado, quais pagamentos atenderam à destinação, quais exceções foram quantificadas e quais dependem de documento ou validação jurídica.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Classifique os pagamentos do crédito judicial [PROCESSO/PRECATÓRIO].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Identifique Fundo originário, período de referência, data de recebimento e norma temporal.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Separe principal, atualização, juros de mora, rendimentos de aplicação, ressarcimentos e deduções.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Para cada débito, vincule conta, fonte, processo, empenho, liquidação, ordem bancária e beneficiário/objeto final.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Classifique como rateio elegível, outra MDE, não MDE, componente desvinculado comprovado ou inconclusivo.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Informe valor, evidência e localizador de cada exceção; não presuma natureza pela conta ou fonte.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QE-02 · Linha de corte e percentual de 60%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Foi corretamente aplicado o mínimo destinado aos profissionais e o saldo residual para manutenção e desenvolvimento do ensino?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Reformular. 'Até 40%' é parcela residual, não uma segunda meta obrigatória. O mínimo de 60% do precatório do FUNDEF exige teste prévio da data de recebimento e da legislação local; não se confunde com os 60%/70% da execução anual.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Definir se o rateio era juridicamente admitido, qual base estava vinculada, qual percentual mínimo incidia e se os beneficiários e critérios individuais eram elegíveis.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Rateio de crédito recebido antes da EC nº 114/2021; base superestimada ou reduzida; inclusão automática de juros/rendimentos; lei local ausente; pagamento a categoria incorreta; distribuição sem proporcionalidade; conclusão por percentual sobre base errada.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EC nº 114/2021, art. 5º e parágrafo único; Lei nº 14.325/2022, arts. 1º a 3º; Lei nº 14.113/2020, art. 47-A; Acórdão TCU nº 1.893/2022-Plenário; lei local específica; título judicial e decisões aplicáveis ao caso.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Datas de crédito; memória judicial; lei local; base de rateio aprovada; folhas; cadastros funcionais históricos; jornadas e meses; pagamentos; parecer jurídico; conciliação do principal, juros, rendimentos e saldo.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Para precatórios do FUNDEF, o TCU admite o rateio de 60% quando o pagamento ocorreu após a promulgação/vigência da EC nº 114/2021 e exige lei específica local. Créditos anteriores permanecem submetidos à vedação indicada no Acórdão nº 1.893/2022. A situação limítrofe deve ser confirmada pela data bancária e por eventual decisão judicial do caso.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Fixar a data operacional de corte em 17/12/2021, data de publicação e vigência da EC nº 114/2021 para o art. 5º, registrando data de promulgação, data bancária e eventual controvérsia do caso.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 o precatório do FUNDEF foi recebido antes da linha de corte, não calcular rateio como obrigação cumprida: verificar a vedação do TCU e classificar os usos segundo MDE.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 foi recebido após a linha de corte, verificar lei específica local antes do pagamento e conferir se ela define percentual e critérios de divisão.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Determinar a base do rateio a partir do título e da norma. Não incluir automaticamente juros de mora nem rendimentos de aplicação; produzir cenários separados quando o tratamento não estiver juridicamente definido.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Testar a elegibilidade individual e a proporcionalidade por jornada e meses de efetivo exercício no período do repasse a menor, incluindo os casos de aposentados, pensionistas ou sucessores conforme o fundamento aplicável.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Recalcular o mínimo e o valor individual; comparar lei local, folha, empenho, pagamento e banco; investigar diferenças, duplicidades, falecidos, vínculos rompidos e pagamentos sem prova histórica.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Classificar o saldo não destinado ao rateio apenas como disponível para MDE elegível; não afirmar que deve ser integralmente gasto em exatamente 40%.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principal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judicial sujeito à vinculação, conforme título e memória, sem misturar componentes ainda controvertidos.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Mínimo de rateio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juridicamente definida × 60%, somente quando o regime e a data admitirem o repasse.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Percentual realizado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Pagamentos elegíveis e comprovados ÷ base juridicamente definida × 100.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Insuficiência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Máx(0; mínimo de rateio - pagamentos elegíveis). Excesso não sana beneficiário inelegível.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Rateio individual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Peso do servidor ÷ soma dos pesos elegíveis × montante de rateio; peso conforme jornada e meses previstos na lei local e na Lei nº 14.325/2022.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Informar primeiro se o rateio era admitido. Só depois apresentar base, mínimo, valor elegível pago, insuficiência/excesso e qualidade dos critérios individuais. Separar toda ressalva sobre juros, rendimentos e casos sucessórios.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Defina a linha de corte e recalcule o rateio do precatório [IDENTIFICAÇÃO].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Informe data de recebimento, Fundo originário, período de referência e norma aplicável.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Aplique o entendimento temporal do Acórdão TCU nº 1.893/2022 e verifique lei local específica.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Separe principal, juros de mora do título e rendimentos de aplicação; não os agregue sem fundamento.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Recalcule base, mínimo de 60%, valor elegível pago e insuficiência.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Teste cada beneficiário por categoria, vínculo, efetivo exercício, jornada, meses e sucessão.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Trate a parcela de até 40% como residual para MDE, não como meta autônoma.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QE-03 · Enquadramento em MDE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Existe despesa incompatível com a finalidade educacional dos recursos?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e ampliar. A classificação deve ocorrer por transação e objeto real, não apenas por elemento, função, fornecedor ou descrição resumida.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Distinguir rateio, outras ações de MDE, despesas vedadas, itens fora da área de atuação prioritária e transações sem evidência suficiente.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Classificação MDE baseada apenas no código contábil; alimentação, saúde ou assistência social indevidamente incluídas; obras de infraestrutura geral; desvio de função; objeto não entregue; despesa fora da competência municipal; dupla contagem com rateio.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LDB, arts. 70 e 71; Constituição, arts. 211 e 212; leis do Fundo aplicáveis; Lei nº 14.113/2020, arts. 25, 29 e 47-A; normas TCM-BA; plano municipal de educação e plano de aplicação.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Processo integral, contrato, nota, atesto, relatório/foto/medição, unidade beneficiada, público-alvo, classificação orçamentária, fonte, pagamento e vínculo com plano de aplicação.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expressão 'educação' no nome da unidade, ação ou fornecedor não comprova MDE. Do mesmo modo, uma despesa útil ao aluno pode ser programa suplementar vedado no art. 71 e demandar outra fonte.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Obter relação integral de despesas, incluindo restos a pagar, adiantamentos, transferências e pagamentos realizados por contas intermediárias.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Descrever o objeto efetivamente entregue, a unidade e a etapa da educação beneficiada, confrontando processo, atesto e evidência física.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Aplicar uma árvore de decisão: rateio específico; MDE do art. 70; vedação do art. 71; fora da atuação prioritária; inconclusivo por falta de evidência.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se pessoal estava em efetivo exercício e se não havia desvio de função ou atividade alheia à MDE.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obras, separar instalações educacionais de infraestrutura urbana geral e reconciliar medições, pagamentos e ativo incorporado.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bens e serviços compartilhados, exigir critério de rateio verificável e excluir parcela sem vínculo demonstrado.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Quantificar cada categoria e selecionar 100% das transações de maior risco para revisão documental e física.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Aplicação MDE comprovada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Soma das transações enquadradas no art. 70 com evidência de objeto e pagamento.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Não MDE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Soma das transações enquadradas no art. 71 ou fora da finalidade/atuação prioritária.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Inconclusivo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sem documentação suficiente; vincular cada montante à diligência necessária.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Erro projetado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Somente para amostra probabilística adequada. Em amostra dirigida, reportar exceções sem extrapolação estatística.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Apresentar lista de transações por categoria, fundamento, valor e evidência. Não converter ausência de prova em afirmação automática de desvio material; indicar quando a própria ausência documental constitui descumprimento do critério.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Classifique as despesas do recurso [CONTA/FONTE/PARCELA] segundo MDE.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Descreva o objeto real, unidade beneficiada, etapa de ensino e evidência da entrega.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Aplique LDB 70/71, área prioritária municipal e regime do recurso.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Separe rateio, outra MDE, não MDE, fora da competência e inconclusivo.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Para itens compartilhados, valide o critério de rateio; para obras, valide medição e incorporação.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Entregue quadro por transação com valor, fundamento, documento/localizador e diligência.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QV-01 · Metodologia anual de 60%/70%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A metodologia de Vitória da Conquista para 2019–2023 está conforme o MDF e a legislação vigentes em cada exercício?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 correção temporal: 60% em 2019–2020 e 70% em 2021–2023. O teste é da execução anual ordinária do Fundo e deve permanecer separado dos precatórios.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Reconstruir, por exercício, denominador, numerador, exclusões, estágio da despesa, versões e percentual oficial, comparando as metodologias municipal e GIPE ao critério do ano.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Aplicação retroativa da regra; inclusão dos 5%/25% externos ao Fundo; VAAR indevidamente incluído; numerador com profissionais inelegíveis; estágios diferentes; RREO ou SIOPE retificado não identificado; mistura com precatório.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 nº 11.494/2007, art. 22, para 2019–2020; Lei nº 14.113/2020, art. 26, para 2021–2023; MDF e mapeamento do Anexo 8 vigentes em cada ano; RREO e orientações oficiais da STN.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RREO Anexo 8 homologado e retificações; SIOPE; razão e balancete por fonte; MSC; folhas; memórias SEFIN/STPC e GIPE; MDF 9ª a 13ª edições, conforme o ano e a versão aplicável.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Os incisos I e II do parágrafo único do art. 1º das leis do Fundeb tratam de aplicação adicional para completar o mínimo constitucional de 25% e não integram automaticamente a base do percentual de remuneração do Fundo. O VAAT é calculado com disponibilidade mais ampla, mas isso não transforma todas essas receitas em recursos do Fundo para o art. 26.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Criar ficha anual contendo lei, edição/versão do MDF, modelo do Anexo 8, data de extração e versões homologadas/retificadas.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Transcrever cada linha que forma a base legal do Fundo e cada exclusão; em 2021–2023, identificar e excluir a complementação-VAAR da base do art. 26 quando existente.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Separar recursos do Fundo de 5%/25% de impostos fora do Fundo, salário-educação, convênios, precatórios e outras receitas adicionais.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Reconstruir o numerador a partir da linha oficial e da folha elegível, preservando o estágio de despesa exigido pelo MDF; exibir empenhado, liquidado e pago para conciliação.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profissionais e efetivo exercício segundo a definição vigente em cada ano: magistério em 2019–2020; profissionais da educação básica em 2021–2023.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Recalcular o percentual legal e, em colunas separadas, os percentuais GIPE e Município; identificar componente responsável pela diferença.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Não absorver divergências: reconciliar RREO, SIOPE, razão, MSC e e-TCM por rubrica e versão antes da conclusão.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Percentual anual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Numerador elegível conforme MDF ÷ base legal anual × 100; 60% em 2019–2020 e 70% em 2021–2023.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Mínimo anual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legal × percentual aplicável.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Insuficiência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Máx(0; mínimo anual - numerador elegível).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externa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5%/25% fora do Fundo em coluna própria; utilizar no teste de MDE 25%, não incorporar silenciosamente ao denominador 60%/70%.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Ponte de diferenças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total de resultado decomposta em efeito da base, do numerador, do percentual, do estágio, da versão e do arredondamento.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Concluir por exercício e por componente. Uma metodologia pode estar aritmeticamente correta e metodologicamente incompatível. A resposta deve identificar a linha do MDF que sustenta cada entrada e exclusão.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Recalcule o indicador anual de remuneração do FUNDEB para [ANO].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Identifique lei, MDF, Anexo 8 e versão vigentes.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Monte a base linha a linha, separando recursos do Fundo de 5%/25% externos, precatórios e outras receitas.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Aplique 60% em 2019–2020 ou 70% em 2021–2023; exclua VAAR quando cabível.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Reconcile o numerador com folha, razão, SIOPE, MSC e e-TCM, preservando o estágio do MDF.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Compare base legal, GIPE e Município e decomponha a divergência.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Entregue percentual, mínimo, insuficiência e conclusão metodológica por ano.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QV-02 · Consistência RREO, contabilidade, SIOPE e TCM-BA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Os dados dos RREOs de 2019–2023 são consistentes com os registros contábeis e com os sistemas oficiais?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e tornar reproduzível. Divergência é achado preliminar; deve ser explicada por escopo, estágio, competência, fonte, remessa ou versão antes de ser qualificada como erro.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Reconciliar a mesma rubrica e o mesmo período entre RREO, SIOPE, razão/balancete, MSC e e-TCM, preservando versões e trilha de ajustes.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Comparação de valores não equivalentes; mistura de empenhado/pago; base de dezembro versus 6º bimestre retificado; dupla contagem de intraorçamentárias; fonte municipal divergente da padronizada; remessa posterior não refletida.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LRF, art. 52; MDF e mapeamentos anuais; Lei nº 14.113/2020, arts. 36 a 38; normas de remessa e prestação de contas do TCM-BA; regras do SIOPE e da MSC.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Arquivos originais e recibos; RREO homologado; exportações SIOPE; razão/balancete; MSC de encerramento; e-TCM/SIGA; tabelas de de/para; notas explicativas e retificações.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O RREO é demonstrativo derivado da contabilidade; o SIOPE e o e-TCM são remessas com regras próprias; a MSC é base granular. Não escolher a fonte que confirma a hipótese. Definir uma hierarquia, conciliar e documentar a versão vigente.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Criar inventário anual de arquivos, competência, versão, data de homologação/transmissão e hash ou identificador.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Definir tabela de de/para entre linha do Anexo 8, contas PCASP, natureza, função/subfunção, fonte/destinação, complemento e estágio da despesa.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Extrair os mesmos componentes em todas as bases: receitas do Fundo, complementações, rendimentos, remuneração elegível, demais MDE, deduções, RP e saldos.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Calcular diferenças absolutas e relativas e abrir cada diferença até conta, lançamento ou registro de remessa.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retificações, cancelamentos de RP, ajustes do Fundo, restos pagos e cortes temporais que expliquem a divergência.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Solicitar memória do Município para diferenças remanescentes e testar a justificativa em documento independente.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Manter status: conciliado, conciliado com ajuste, divergente, não comparável ou inconclusivo.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absoluta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da base A - valor da base B, por rubrica, estágio e exercício.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relativa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absoluta ÷ valor de referência, com denominador identificado.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Ponte de conciliação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inicial + ajustes explicados = valor reconciliado; cada ajuste deve ter documento e localizador.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Impacto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Recalcular o percentual 60%/70% antes e depois do ajuste para medir relevância.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Apresentar matriz anual com valores por sistema, diferenças, explicações testadas e saldo não conciliado. Só afirmar inconsistência material quando a diferença permanecer sem fundamento e tiver efeito relevante.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Reconcile RREO, SIOPE, contabilidade, MSC e e-TCM de [ANO].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Registre arquivo, competência, versão, homologação e data de extração.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Construa de/para do Anexo 8 para PCASP, fonte e estágio.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Compare receitas, remuneração, demais MDE, deduções, RP e saldos.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Explique cada diferença por retificação, estágio, competência, classificação ou erro comprovado.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Recalcule o efeito no percentual anual.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Classifique cada rubrica como conciliada, ajustada, divergente, não comparável ou inconclusiva.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QV-03 · Aritmética GIPE versus Município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Os cálculos da GIPE e do Município estão aritmeticamente corretos, e a divergência decorre exclusivamente da base?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em dois testes independentes: reexecução aritmética com os dados de cada parte e avaliação metodológica contra o MDF. Não presumir que a divergência está somente no denominador.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Isolar erros de soma, fórmula, arredondamento e transcrição e decompor diferenças de base, numerador, percentual, estágio e versão.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Alterar premissas durante a reexecução; confundir erro matemático com critério legal; omitir diferenças do numerador; usar dados atualizados para reproduzir memória antiga; arredondamento não documentado.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Relatório GIPE nº 05/2023 e memórias SEFIN/STPC constantes dos autos; regras matemáticas; lei e MDF de cada exercício para o teste metodológico.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Planilhas ou quadros originais, fórmulas, bases-fonte, versões, RREO, SIOPE, razão e esclarecimentos das partes.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pergunta contém uma hipótese ('divergência exclusivamente na base') que deve ser testada, não assumida. A reexecução aritmética deve preservar exatamente as entradas declaradas pela parte antes de qualquer correção metodológica.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Transcrever as fórmulas e entradas de cada parte sem corrigir nomenclatura, base ou valor.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Reexecutar somas, divisões, percentuais e arredondamentos; comparar resultado reproduzido com o publicado.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Congelar a versão dos dados usada por cada parte e não substituí-la pela última versão do RREO na etapa aritmética.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Depois da reexecução, comparar denominador, numerador, percentual, estágio, competência, ajustes e versões em matriz de premissas.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Montar cenário legal com o MDF do ano e medir separadamente a diferença aritmética e a diferença metodológica.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Submeter divergências de transcrição ou fórmula a confirmação e preservar a memória anterior como trilha.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Erro aritmético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Resultado reproduzido com as entradas da parte - resultado apresentado pela parte.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de base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GIPE - base Município, detalhada por componente.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de numerador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Numerador GIPE - numerador Município, detalhada por profissional/rubrica/estágio.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Resultado legal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Numerador elegível legal ÷ base legal do MDF × 100.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Decomposição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Registrar efeitos de base, numerador, percentual, estágio, versão e arredondamento; a soma deve explicar a diferença total.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Responder separadamente: (a) correção aritmética da GIPE; (b) correção aritmética do Município; (c) aderência metodológica de cada um; (d) componentes que explicam a divergência.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Reexecute e compare as memórias GIPE e Município de [ANO].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Use primeiro exatamente as entradas e fórmulas de cada parte.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Quantifique erro de soma, divisão, transcrição e arredondamento.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Em etapa separada, compare base, numerador, percentual, estágio, competência e versão ao MDF.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Construa o cenário legal e decomponha a diferença total por componente.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Não conclua que a divergência é apenas da base sem provar a igualdade dos demais componentes.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QV-04 · Práticas comparadas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A metodologia municipal é compatível com a prática contábil nacional, e há entes que incluam os 5%/25% externos ao Fundo na base?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como pesquisa comparada limitada. A frequência de uma prática não altera a lei ou o MDF e não deve ser apresentada como parecer jurídico nacional.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Identificar metodologias efetivamente demonstradas em RREOs ou notas oficiais de entes comparáveis, avaliando aderência ao critério anual.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Amostra por conveniência; uso de notícia ou planilha sem memória; exercícios não comparáveis; inferência nacional; confusão entre base VAAT, MDE 25% e base 60%/70%; conclusão por ausência de achados.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Leis e MDF anuais; RREOs e notas técnicas oficiais; protocolo de seleção da amostra e limitações declaradas.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Demonstrativos oficiais, notas metodológicas, memória publicada, página/linha, exercício, versão e critérios de amostragem.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existência de Município que inclua recursos externos ao Fundo demonstra prática, não conformidade. A inexistência na amostra não prova inexistência nacional.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Definir a pergunta comparável, a população, os exercícios e os critérios de escolha dos entes antes da busca.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Selecionar entes de portes e regimes de complementação diversos, preservando o mesmo exercício e modelo do Anexo 8.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Extrair a base declarada, linhas componentes, numerador e nota metodológica; não inferir inclusão apenas pelo percentual final.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Classificar se os 5%/25% externos aparecem na base do percentual, na base do VAAT ou apenas no quadro de MDE 25%.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Avaliar cada prática contra a lei e o MDF do ano, separando descrição de prática e juízo de aderência.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Apresentar resultados como estudo de casos, sem extrapolação estatística, salvo desenho amostral próprio.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Quadro comparativo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Ente, exercício, regra, base, numerador, inclusão dos 5%/25%, documento e aderência.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Frequência observada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Quantidade por categoria ÷ amostra válida; usar somente como descrição da amostra.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Efeito da inclusão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Percentual com base externa - percentual segundo base do MDF, por ente e ano.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Descrever as práticas documentadas, a aderência de cada uma e as limitações da amostra. A conclusão normativa permanece fundada na lei e no MDF, não na moda observada.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Execute pesquisa comparada da base 60%/70% para [EXERCÍCIO].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Defina população, amostra e critérios de seleção.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Use apenas RREO, nota técnica ou memória oficial com localizador.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Extraia base, numerador e tratamento dos 5%/25% externos.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Diferencie base do percentual do Fundo, base VAAT e base MDE 25%.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Avalie aderência ao MDF e declare que frequência não substitui o critério legal.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QV-05 · Cenário GIPE e impacto orçamentário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Qual seria o montante adicional anual segundo a metodologia GIPE e qual seu peso no orçamento municipal de 2019–2023?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como cenário contrafactual. Definir expressamente o que significa 'orçamento total'; se os autos não fixarem o denominador, apresentar mais de uma medida, sem escolher silenciosamente.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Quantificar o adicional requerido pela premissa GIPE e contextualizá-lo em denominadores municipais comparáveis, sem transformá-lo automaticamente em obrigação reconhecida.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Base GIPE não reproduzida; numerador inconsistente; adicional negativo; denominador de outro exercício; orçamento inicial versus atualizado; confusão entre cenário e dano; soma de anos em valores nominais.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Metodologia GIPE transcrita dos autos; percentuais anuais; LOA/QDD, receita realizada e despesa fixada/atualizada da mesma competência; IPCA quando houver comparação intertemporal.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Base e numerador GIPE; memórias anuais; LOA e alterações; balanços; RREO; dados de receita/despesa total; versão e fonte de cada denominador.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O adicional é resultado condicionado à metodologia GIPE. Não equivale automaticamente a dano, passivo ou obrigação de pagamento. Para 2019–2023, valores agregados devem ser apresentados também em moeda de data comum se comparados entre anos.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Validar que a base GIPE e o numerador usados são os mesmos da memória examinada e registrar eventuais alternativas.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Aplicar 60% em 2019–2020 e 70% em 2021–2023, sem alterar a premissa GIPE nesta etapa.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Calcular o mínimo e deduzir apenas a remuneração reconhecida no mesmo cenário; impedir adicional negativo.</w:t>
        <w:br/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Definir o denominador 'orçamento total'. Se não estiver definido nos autos, apresentar impacto sobre despesa total fixada inicial, despesa atualizada e receita total realizada, todos do mesmo ano.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Apresentar valores nominais anuais e, para comparação intertemporal, valores atualizados por índice e data-base declarados.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Distinguir cenário GIPE, cenário municipal e cenário legal do MDF; não misturar conclusões.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Mínimo GIPE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GIPE × 60% ou 70%, conforme o ano.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Adicional GIPE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Máx(0; mínimo GIPE - remuneração elegível adotada no cenário GIPE).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Impacto no orçamento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Adicional GIPE ÷ denominador anual definido × 100; identificar se despesa inicial, atualizada ou receita realizada.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Comparação real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nominal atualizado pelo índice e data-base informados; não somar séries sem explicitar moeda.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Apresentar tabela 2019–2023 com premissas, adicional e impactos sob cada denominador relevante. Rotular o resultado como cenário contrafactual e manter separada a conclusão legal do QV-01.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Calcule o cenário GIPE para 2019–2023.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Reproduza a base e o numerador da GIPE sem alterações.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Aplique 60% em 2019–2020 e 70% em 2021–2023.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Calcule mínimo e adicional não negativo.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Defina 'orçamento total'; se ausente, apresente impacto sobre despesa inicial, despesa atualizada e receita realizada.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Identifique fontes, versões e moeda; se comparar anos, atualize por índice e data-base declarados.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Rotule o resultado como cenário, não como obrigação ou dano.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QV-06 · Mínimo constitucional de 25% em MDE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O Município cumpriu o mínimo de 25% em MDE em 2019–2023, independentemente da controvérsia sobre 60%/70%?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em trilha totalmente independente. O resultado do Fundeb não compensa o teste constitucional e vice-versa.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Reproduzir, por exercício, base constitucional, aplicação líquida, deduções, RP e percentual de MDE conforme o Anexo 8 e o MDF anual.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Uso da base do Fundo em lugar da base de impostos; inclusão de despesa não MDE; duplicidade de Fundeb; tratamento incorreto de RP; versões divergentes; compensação indevida com 60%/70%; numerador e denominador de competências diferentes.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Constituição, art. 212; LDB, arts. 69 a 71; MDF e mapeamento do Anexo 8 do exercício; decisões e normas aplicáveis à apuração e aos restos a pagar.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RREO Anexo 8; receita de impostos e transferências; razão; MSC; SIOPE; despesas MDE; deduções; cancelamentos e pagamentos de RP; e-TCM; parecer prévio das contas.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rotina deve seguir as linhas e deduções do modelo vigente no ano. Não use uma fórmula genérica para substituir o MDF, especialmente no tratamento do resultado líquido das transferências do Fundeb e dos restos a pagar.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edição/versão do MDF e o Anexo 8 homologado de cada exercício.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Recompor a base de impostos e transferências constitucionais com os ajustes previstos no modelo anual.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Recompor a aplicação bruta por fontes de impostos e Fundeb e aplicar deduções, cancelamentos, disponibilidade e RP conforme o MDF.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Classificar despesas segundo os arts. 70 e 71 da LDB e excluir transações sem enquadramento.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Reconciliar RREO, SIOPE, razão, MSC e e-TCM; verificar versão retificada e parecer prévio.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Calcular mínimo, aplicação líquida, percentual, insuficiência ou excedente por exercício e manter o resultado separado do QV-01.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constitucional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apurado nas linhas de impostos e transferências do Anexo 8, após os ajustes do MDF anual.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Mínimo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constitucional × 25%.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Aplicação líquida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Despesas MDE reconhecidas - deduções/exclusões do modelo anual, com RP tratados conforme o MDF.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Percentual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Aplicação líquida ÷ base constitucional × 100.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Margem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Aplicação líquida - mínimo; negativa indica insuficiência, sujeita à validação das bases e deduções.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Responder por ano, com base, mínimo, aplicação líquida, percentual e margem, declarando versão do RREO e diferenças não conciliadas. Não usar o resultado para sanar eventual descumprimento do 60%/70%.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Reproduza o mínimo constitucional de MDE para [ANO].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Identifique MDF, Anexo 8, versão homologada e retificações.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Recalcule base de impostos/transferências, despesas MDE e deduções segundo as linhas do ano.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Reconcile RREO, SIOPE, razão, MSC e e-TCM, inclusive RP e cancelamentos.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Calcule mínimo de 25%, aplicação líquida, percentual e margem.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Mantenha este teste independente do percentual 60%/70% do Fundo.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QT-01 / QT-02 · Rastreamento das contas e exclusividade da destinação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Os créditos e débitos das contas vinculadas foram integralmente rastreados e destinados ao rateio ou a ações de MDE elegíveis?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Executar conjuntamente a trilha bancária e a classificação de destinação, mas emitir respostas autônomas. Não se limitar aos extratos disponíveis no e-TCM se houver lacuna de período ou de conta.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Reconstruir o fluxo de cada parcela desde o crédito até o beneficiário/objeto e saldo, reconciliando banco, contabilidade e documentos da despesa.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Conta omitida; extrato incompleto; transferência intermediária; débito sem processo; aplicação não resgatada; saldo contábil divergente; pagamento por conta diversa; compensação entre contas; despesa fora de MDE.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 nº 14.113/2020, arts. 20, 21, 23, 24 e 47-A; Portaria STN nº 710/2021 e atualizações aplicáveis ao exercício; LDB 70/71; normas TCM-BA; Lei nº 4.320/1964.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Extratos integrais e de aplicações; cadastro de contas; comprovantes; razão bancário e da fonte; ordens; folhas; processos; conciliações; RREO/SIOPE/e-TCM; confirmação da conta de destino.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>
              <w:t>Para exercícios até 2022, as fontes 95 e 96 identificam recursos de precatórios do FUNDEF no padrão do TCM-BA. A partir de 2023, a fonte 544 identifica precatórios do FUNDEF no padrão nacional. Em séries históricas, preservar o código original, registrar 95/96 → 544 e reconstruir a origem por conta e detalhamento. A fonte 545 é código distinto para precatórios do FUNDEB (2007–2020), incluído em 2024 para a tabela de 2025; não é sucessora da fonte 96.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Inventariar todas as contas de movimento e aplicação, inclusive contas antigas, transitórias e de destino de transferências.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Obter extratos desde o saldo anterior ao primeiro crédito até a data de corte; verificar sequência, páginas, saldos e ausência de períodos.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Importar lançamentos em base estruturada e classificar crédito, pagamento, aplicação, resgate, transferência, tarifa, estorno, devolução e rendimento.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Conciliar cada conta e mês; diferenças não podem ser compensadas com saldo de outra conta sem transferência comprovada.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Vincular cada débito ao registro contábil e à evidência final; para transferências, continuar o rastreamento na conta de destino até o beneficiário/objeto ou retorno.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Aplicar a classificação do QE-03 a todos os débitos e verificar se o saldo remanescente está preservado e aplicado.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Confrontar banco, razão, fonte, RREO, SIOPE e e-TCM e documentar o código de fonte vigente no exercício.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Conciliação bancária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Saldo inicial + créditos + rendimentos + resgates/transferências recebidas - débitos - aplicações/transferências enviadas = saldo final.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Saldo consolidado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Somatório das contas conciliadas, sem eliminar transferências internas até confirmar origem e destino.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não rastreado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Débitos sem beneficiário/objeto final + diferenças de conciliação + transferências sem destino comprovado.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Destinação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Rateio elegível, outra MDE, não MDE e inconclusivo, por parcela e conta.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Responder se a trilha fecha por conta e por parcela e se a destinação é exclusiva. Informar contas e períodos examinados, valor rastreado, saldo, exceções e limitações.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Reconstrua a trilha bancária das contas [CONTAS] no período [PERÍODO].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Valide completude dos extratos e inventário de contas de movimento/aplicação.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Classifique todos os lançamentos e concilie mês a mês.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Continue transferências até a conta de destino e o beneficiário/objeto final.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Vincule débitos a razão, fonte, empenho, liquidação, pagamento e documento primário.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Classifique a destinação e quantifique o não rastreado.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Use o código de fonte vigente no exercício; não exija retroativamente fonte criada depois.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QT-03 · Aplicações, saques, transferências e juros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Houve aplicações financeiras, saques ou transferências para contas não vinculadas ou de finalidade diversa?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como teste de alto risco e acrescentar a separação entre rendimentos de aplicação e juros de mora do título judicial.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Identificar desvio de fluxo, conta transitória, saque, perda de rastreabilidade e tratamento inadequado de rendimentos ou juros.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Transferência sem finalidade; saque em espécie; aplicação fora da instituição/conta; rendimento não apropriado; juros misturados ao principal; conta de destino omitida; transferência circular; tarifa indevida; pagamento final não localizado.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 nº 14.113/2020, arts. 20, 21 e 24; normas do recurso judicial e da conta; ADPF 528 e jurisprudência do TCU aplicável aos juros de mora; Acórdãos TCU nº 2.461/2023 e nº 53/2024; Portaria STN nº 710/2021 e MDF.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Extratos de movimento/aplicação; comprovantes; memória judicial que segrega juros; contas de destino; registros por fonte; parecer jurídico; ordens bancárias; retorno de aplicação; reconciliação.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Rendimentos de aplicação financeira do recurso vinculado mantêm a finalidade do principal. Juros de mora integrantes da condenação judicial constituem componente distinto e exigem segregação comprovada. Se principal e juros forem depositados na mesma conta e não puderem ser separados, a rastreabilidade e a fiscalização alcançam o fluxo integral, sem presunção favorável de livre utilização.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Listar todos os débitos não classificados como pagamento final: aplicações, resgates, transferências, TED/PIX, saques, tarifas e estornos.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titularidade, natureza e finalidade de cada conta de destino e obter o extrato subsequente.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Conferir aplicação, resgate, rendimento bruto/líquido e apropriação contábil; reconciliar o rendimento com a mesma finalidade do principal.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Separar juros de mora a partir do título/memória judicial. Se não houver segregação documental e bancária, classificar a livre utilização como não comprovada.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Investigar saques em espécie e transferências para contas de movimento geral como exceções de alto risco, rastreando beneficiário e documento final.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Quantificar valores sem retorno, sem finalidade, sem conta de destino ou com uso incompatível; verificar restituição e atualização.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Rendimento de aplicação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Resgates + saldo aplicado final - aplicações - saldo aplicado inicial; reconciliar com receitas financeiras.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Transferência não rastreada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enviado - valor cujo destino/retorno foi comprovado.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Juros segregados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identificado no título e depositado/contabilizado separadamente; registrar fundamento do tratamento.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Reposição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Principal/valor vinculado usado indevidamente + atualização definida pelo critério aplicável - restituições comprovadas.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Entregar mapa origem → destino → uso/retorno. Distinguir aplicação regular, transferência operacional comprovada, juros segregados, movimentação incompatível e item inconclusivo.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Analise aplicações, transferências, saques e juros das contas [CONTAS].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Liste todos os fluxos não classificados como pagamento final.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Identifique titular e finalidade da conta de destino e continue a trilha.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Reconcile aplicações, resgates e rendimentos; mantenha rendimentos na finalidade do principal.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Separe juros de mora somente com memória judicial e segregação bancário-contábil comprovadas.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Quantifique valores sem retorno, sem finalidade ou incompatíveis e eventuais reposições.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QT-04 · Empenho, liquidação e pagamento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Os pagamentos foram precedidos de regular empenho e liquidação e possuem suporte suficiente?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 ajuste: a Lei nº 14.133/2021 só integra o teste quando houver contratação pública. Rateios/abonos são examinados pela lei local, folha, ato de concessão e ciclo da despesa, não por licitação.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Testar sequência, suficiência orçamentária, documentação da liquidação e identidade do favorecido para despesas de pessoal/rateio e para outras MDE.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Pagamento sem empenho; empenho posterior; liquidação sem prova; folha sem elegibilidade; contratação irregular; pagamento a terceiro; duplicidade; fonte divergente; retenções ou encargos incorretos; RP indevido.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 nº 4.320/1964, arts. 58 a 65; MCASP; lei local do rateio; Lei nº 14.133/2021 ou regime histórico quando houver aquisição/serviço; contrato; normas tributárias e previdenciárias aplicáveis.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Dotação e saldo; empenho; folha/ato de rateio; contrato; nota; atesto; medição; liquidação; ordem; comprovante bancário; retenções; razão; cadastro do favorecido; RP.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existência de número de empenho não prova a liquidação. Para rateio, o objeto é o direito individual calculado segundo norma e vínculo histórico; para bens/serviços, o objeto é a entrega ou prestação comprovada. Não aplicar requisitos licitatórios a folha de pagamento.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Dividir a população entre rateio/folha e outras despesas MDE, aplicando checklists próprios.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dotação, fonte, saldo e empenho anterior à obrigação; reconciliar reforços, anulações e restos a pagar.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rateio, conferir lei local, ato, memória individual, cadastro, efetivo exercício, CPF, banco, retenções e valor líquido.</w:t>
        <w:br/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bens/serviços, identificar regime de contratação, instrumento, objeto, nota, atesto/medição e recebimento antes da liquidação.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Ordenar datas de autorização, contratação/ato, empenho, competência/entrega, liquidação, ordem e débito bancário; explicar inversões.</w:t>
        <w:br/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Rastrear favorecido final e testar duplicidades, cessões, contas incompatíveis e divergências entre bruto, retenções e líquido.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Selecionar 100% dos rateios de alto risco e despesas materiais, complementando com amostra dirigida e aleatória documentada.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Conciliação da despesa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Empenhado - liquidado; liquidado - pago; explicar saldos e RP por transação.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Folha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bruto - retenções/encargos do beneficiário = líquido; conciliar total da folha com ordem e banco.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Contrato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vigente - empenhado - pago; confrontar quantidade/medição e saldo.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Exceções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e quantidade com inversão temporal, suporte insuficiente, duplicidade ou favorecido divergente.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Responder por tipo de despesa e por exceção, informando cobertura da população. Ausência de prova deve gerar limitação/diligência ou não conformidade documental conforme o critério.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Teste o ciclo da despesa dos pagamentos [POPULAÇÃO].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Separe rateio/folha de aquisições e serviços MDE.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Verifique dotação, fonte, saldo e empenho prévio.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Para rateio, teste lei local, elegibilidade, memória, retenções e beneficiário.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Para bens/serviços, teste o regime de contratação e reexecute a liquidação com evidência de entrega.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Ordene todas as datas, rastreie o pagamento e quantifique exceções.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Não aplique a Lei nº 14.133/2021 a pagamento de abono que não decorra de contratação.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SÍNTESE · Respostas, achados e revisão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Como consolidar os treze quesitos sem duplicidade e com conclusão proporcional à evidência?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Incluir como rotina final. Os testes podem ser compartilhados entre quesitos, mas cada pergunta deve receber resposta direta e rastreável.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Transformar papéis revisados em respostas técnicas consistentes, separando fato, critério, cálculo, limitação, diligência e questão jurídica.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Dupla contagem; contradição entre respostas; conclusão categórica sem prova; mistura entre execução anual e precatórios; imputação pessoal; valores da minuta divergentes das memórias; omissão do contraditório.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Critérios validados nos QE, QV e QT; normas vigentes na data do fato; política de revisão; contraditório quando cabível; delimitação de competência contábil e jurídica.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PT-01 a PT-09 revisados; matriz de quesitos; memórias congeladas; evidências-chave; matriz de achados; respostas do Município; parecer do revisor.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conclusão contábil deve apontar aderência, diferença, efeito e limitação. Dolo, culpa, responsabilidade pessoal, direito subjetivo individual, prescrição e sanção exigem análise própria e não decorrem automaticamente do cálculo.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Congelar população, data de corte, contas, parcelas, anos, versões e critérios antes da redação.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cada quesito, referenciar PT, teste, valor, documento/localizador e conclusão; evitar repetir o mesmo valor como achados diferentes.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Classificar o estado da resposta como atendido, parcialmente atendido, não atendido ou inconclusivo.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Estruturar achados em critério, condição, causa provável, efeito/risco, valor, evidência, manifestação e resposta da auditoria.</w:t>
        <w:br/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Submeter toda questão de vigência, retroatividade, juros de mora, beneficiários sucessórios ou alcance da lei local à revisão jurídica.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Conferir totais e referências cruzadas por revisor diferente do executor e atualizar a conclusão após contraditório sem apagar a versão anterior.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Conciliação global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Créditos, aplicações, transferências, pagamentos e saldo por parcela/conta; totais devem coincidir com os PTs.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Cobertura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e quantidade examinados ÷ população; declarar seleção e limitações.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Exceções únicas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Consolidar transações sem duplicar o mesmo efeito em mais de um achado.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Revisão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Checklist de coerência: quesito, critério temporal, base, fórmula, evidência, resposta e revisor.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A síntese deve responder diretamente cada quesito, apresentar o número essencial, indicar evidência e limitação e preservar o grau de segurança obtido. Não atribuir responsabilidade pessoal ou efeito jurídico não examinado.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Consolide os treze quesitos FUNDEF/FUNDEB.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Reconcile todos os totais e elimine dupla contagem.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Para cada quesito, informe resposta direta, critério temporal, PT, teste, resultado, evidência, limitação e diligência.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Separe execução anual, precatórios e MDE 25%.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Estruture achados completos e incorpore manifestação/contraditório.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Use apenas atendido, parcialmente atendido, não atendido ou inconclusivo.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Reserve vigência, retroatividade, juros e responsabilidade para revisão jurídica quando necessário.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Matriz de respostas esperada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200"/>
        <w:gridCol w:w="7160"/>
      </w:tblGrid>
      <w:tr>
        <w:trPr>
          <w:cantSplit/>
          <w:tblHeader w:val="true"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Campo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Conteúdo obrigatório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Resposta direta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Atendido, parcialmente atendido, não atendido ou inconclusivo.</w:t>
            </w:r>
          </w:p>
        </w:tc>
      </w:tr>
      <w:tr>
        <w:trPr>
          <w:cantSplit/>
        </w:trPr>
        <w:tc>
          <w:tcPr>
            <w:tcW w:type="dxa" w:w="22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Regime</w:t>
            </w:r>
          </w:p>
        </w:tc>
        <w:tc>
          <w:tcPr>
            <w:tcW w:type="dxa" w:w="71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Origem, período de referência, data do fato e norma/MDF aplicáveis.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Universo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Anos, parcelas, contas, quantidade, valor e cobertura examinada.</w:t>
            </w:r>
          </w:p>
        </w:tc>
      </w:tr>
      <w:tr>
        <w:trPr>
          <w:cantSplit/>
        </w:trPr>
        <w:tc>
          <w:tcPr>
            <w:tcW w:type="dxa" w:w="22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Resultado</w:t>
            </w:r>
          </w:p>
        </w:tc>
        <w:tc>
          <w:tcPr>
            <w:tcW w:type="dxa" w:w="71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Valor/base, fórmula, percentual, diferença, saldo e efeito, quando aplicável.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Evidência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Arquivo, página/linha/registro, sistema, versão e data de extração.</w:t>
            </w:r>
          </w:p>
        </w:tc>
      </w:tr>
      <w:tr>
        <w:trPr>
          <w:cantSplit/>
        </w:trPr>
        <w:tc>
          <w:tcPr>
            <w:tcW w:type="dxa" w:w="22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Limitação</w:t>
            </w:r>
          </w:p>
        </w:tc>
        <w:tc>
          <w:tcPr>
            <w:tcW w:type="dxa" w:w="71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Documento ou dado ausente e o teste que ele impede concluir.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Diligência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Pedido específico, destinatário, período, formato e finalidade.</w:t>
            </w:r>
          </w:p>
        </w:tc>
      </w:tr>
      <w:tr>
        <w:trPr>
          <w:cantSplit/>
        </w:trPr>
        <w:tc>
          <w:tcPr>
            <w:tcW w:type="dxa" w:w="22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Revisão</w:t>
            </w:r>
          </w:p>
        </w:tc>
        <w:tc>
          <w:tcPr>
            <w:tcW w:type="dxa" w:w="71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Executor, revisor, data, manifestação do Município e tratamento.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Rotina automática MSC incorporada ao aplicativo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Finalidade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rotina transforma exportações estruturadas da Matriz de Saldos Contábeis em memória preliminar de auditoria para os quesitos do Módulo 4. Ela não substitui o RREO/RGF oficial, a conciliação contábil-bancária nem o julgamento técnico do caso.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700"/>
        <w:gridCol w:w="4680"/>
        <w:gridCol w:w="2980"/>
      </w:tblGrid>
      <w:tr>
        <w:trPr>
          <w:cantSplit/>
          <w:tblHeader w:val="true"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Bloco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Apuração automática</w:t>
            </w:r>
          </w:p>
        </w:tc>
        <w:tc>
          <w:tcPr>
            <w:tcW w:type="dxa" w:w="29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Saída e controle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FUNDEB 70%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Receitas das fontes 540, 541, 542, 543 e 546; exclusão do VAAR (543); despesas de pessoal nas fontes 540, 541, 542 e 546, CO 1070/1072 e ND 3.1, com exclusões configuradas.</w:t>
            </w:r>
          </w:p>
        </w:tc>
        <w:tc>
          <w:tcPr>
            <w:tcW w:type="dxa" w:w="29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Base legal, mínimo, numerador, percentual e estado. Nos 1º–5º bimestres usa liquidação; no 6º, empenho, conforme o mapeamento fornecido.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MDE 25%</w:t>
            </w:r>
          </w:p>
        </w:tc>
        <w:tc>
          <w:tcPr>
            <w:tcW w:type="dxa" w:w="46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Receita de impostos e transferências, despesas MDE financiadas por impostos e transferências ao FUNDEB, somadas aos ajustes complementares das linhas 24 a 27.</w:t>
            </w:r>
          </w:p>
        </w:tc>
        <w:tc>
          <w:tcPr>
            <w:tcW w:type="dxa" w:w="29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Valor aplicado, percentual e memória das linhas 22 a 29. Sem os ajustes manuais indispensáveis, o resultado permanece preliminar ou inconclusivo.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RGF Anexo 5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Disponibilidade bruta, obrigações financeiras, restos a pagar, depósitos e insuficiência financeira, por fontes de educação e fórmulas a–i do mapeamento.</w:t>
            </w:r>
          </w:p>
        </w:tc>
        <w:tc>
          <w:tcPr>
            <w:tcW w:type="dxa" w:w="29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Disponibilidade líquida antes e depois da inscrição em restos a pagar, separando FUNDEB de outras fontes da educação.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Precatórios</w:t>
            </w:r>
          </w:p>
        </w:tc>
        <w:tc>
          <w:tcPr>
            <w:tcW w:type="dxa" w:w="46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>
              <w:t>Ingressos de precatórios do FUNDEF nas fontes 95/96 até 2022 ou 544 a partir de 2023, com despesas correlatas identificáveis nas dimensões da MSC. Tratar eventual fonte 545 separadamente, conforme a tabela vigente do exercício.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</w:r>
          </w:p>
        </w:tc>
        <w:tc>
          <w:tcPr>
            <w:tcW w:type="dxa" w:w="29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Sinalização de população a rastrear. A classificação final depende do título judicial, data, conta, componente financeiro, lei local e beneficiário/objeto.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GIPE/orçamento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Impacto adicional informado e orçamento total do ente, quando fornecidos pelo auditor.</w:t>
            </w:r>
          </w:p>
        </w:tc>
        <w:tc>
          <w:tcPr>
            <w:tcW w:type="dxa" w:w="29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Indicador gerencial para o quesito comparativo, sem converter percentual em teto legal ou conclusão automática.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Entradas, validações e trilha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Importar CSV, TXT ou XLSX com cabeçalhos reconhecíveis de conta contábil, natureza da receita/despesa, fonte/destinação, função, subfunção, complemento da fonte, natureza do saldo, mês e valor.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Selecionar exercício e bimestre; a rotina filtra o mês final do bimestre e prioriza a natureza Saldo Final/Ending Balance.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Informar separadamente os ajustes que o mapeamento não extrai de forma suficiente da MSC: Fundeb excedente não aplicado, superávit não aplicado no primeiro quadrimestre, RPNP MDE sem disponibilidade e cancelamentos de restos a pagar.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automaticamente ausência de dimensões, duplicidades potenciais, valores inválidos, divergências e cobertura de cada regra. Dados insuficientes geram estado inconclusivo, nunca conformidade por valor zero.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Exportar memória de cálculo e relatório de exceções em CSV, preservando nome do arquivo, planilha, parâmetros, data/hora, filtros e quantidade de registros utilizados.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Reconciliar a saída com RREO Anexo 8, RGF Anexo 5, SIOPE, razão, extratos e demais documentos antes de responder os quesitos.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FF2CC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7A5A00"/>
                <w:sz w:val="19"/>
              </w:rPr>
              <w:t xml:space="preserve">Controle temporal: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Os dois mapeamentos recebidos estão identificados como MDF 15ª edição e MSC 2026. Para exercícios anteriores, carregar e aplicar o leiaute, a fonte/destinação e o MDF vigentes no respectivo fato, sem retroação automática dos códigos de 2026.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Checklist de revisão de qualidade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origem do recurso, o período a que se refere e a data de recebimento foram comprovados antes da escolha do percentual?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execução anual foi separada dos precatórios e do MDE 25%?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crédito anterior/posterior a 17/12/2021 foi tratado conforme a linha de corte e o Acórdão TCU nº 1.893/2022?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lei local precedeu o rateio e definiu percentual e critérios?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Principal, juros de mora e rendimentos de aplicação foram segregados sem presunção?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Beneficiários foram testados por categoria, efetivo exercício, período, jornada, meses e sucessão?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base 60%/70% usa lei e MDF do exercício e exclui itens não pertencentes ao Fundo?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RREO, SIOPE, razão, MSC e e-TCM utilizam mesma rubrica, estágio, competência e versão?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código de fonte exigido existia no exercício analisado?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MDE foi classificada pelo objeto real e pela evidência da entrega, não apenas pelo código?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Transferências foram rastreadas até o beneficiário/objeto final e as contas fecharam por período?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Lei nº 14.133/2021 foi aplicada somente às contratações pertinentes?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Cada exceção possui valor, evidência e efeito; cada limitação possui diligência específica?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minuta evita imputação pessoal e identifica pontos de validação jurídica?</w:t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Fontes oficiais e controle temporal</w:t>
      </w:r>
    </w:p>
    <w:p>
      <w:pPr>
        <w:pStyle w:val="ListBullet"/>
      </w:pPr>
      <w:r>
        <w:t>STN — Ementário da Classificação por Natureza de Receita do exercício analisado</w:t>
      </w:r>
    </w:p>
    <w:p>
      <w:pPr>
        <w:pStyle w:val="ListBullet"/>
      </w:pPr>
      <w:r>
        <w:t>Tesouro Transparente — Transferências Constitucionais Realizadas</w:t>
      </w:r>
    </w:p>
    <w:p>
      <w:pPr>
        <w:pStyle w:val="ListBullet"/>
      </w:pPr>
      <w:r>
        <w:t>TCM-BA — Resolução nº 1.268/2008 consolidada e Resolução nº 1.388/2019</w:t>
      </w:r>
    </w:p>
    <w:p>
      <w:pPr>
        <w:pStyle w:val="ListBullet"/>
        <w:spacing w:after="100"/>
        <w:ind w:left="540" w:hanging="271"/>
      </w:pPr>
      <w:hyperlink r:id="rId13">
        <w:r>
          <w:rPr>
            <w:rFonts w:ascii="Century Gothic" w:hAnsi="Century Gothic"/>
            <w:color w:val="07513A"/>
            <w:u w:val="single"/>
            <w:sz w:val="19"/>
          </w:rPr>
          <w:t>Constituição Federal — arts. 211, 212 e 212-A</w:t>
        </w:r>
      </w:hyperlink>
    </w:p>
    <w:p>
      <w:pPr>
        <w:pStyle w:val="ListBullet"/>
        <w:spacing w:after="100"/>
        <w:ind w:left="540" w:hanging="271"/>
      </w:pPr>
      <w:hyperlink r:id="rId14">
        <w:r>
          <w:rPr>
            <w:rFonts w:ascii="Century Gothic" w:hAnsi="Century Gothic"/>
            <w:color w:val="07513A"/>
            <w:u w:val="single"/>
            <w:sz w:val="19"/>
          </w:rPr>
          <w:t>Emenda Constitucional nº 114/2021 — arts. 4º e 5º</w:t>
        </w:r>
      </w:hyperlink>
    </w:p>
    <w:p>
      <w:pPr>
        <w:pStyle w:val="ListBullet"/>
        <w:spacing w:after="100"/>
        <w:ind w:left="540" w:hanging="271"/>
      </w:pPr>
      <w:hyperlink r:id="rId15">
        <w:r>
          <w:rPr>
            <w:rFonts w:ascii="Century Gothic" w:hAnsi="Century Gothic"/>
            <w:color w:val="07513A"/>
            <w:u w:val="single"/>
            <w:sz w:val="19"/>
          </w:rPr>
          <w:t>Lei nº 9.424/1996 — FUNDEF</w:t>
        </w:r>
      </w:hyperlink>
    </w:p>
    <w:p>
      <w:pPr>
        <w:pStyle w:val="ListBullet"/>
        <w:spacing w:after="100"/>
        <w:ind w:left="540" w:hanging="271"/>
      </w:pPr>
      <w:hyperlink r:id="rId16">
        <w:r>
          <w:rPr>
            <w:rFonts w:ascii="Century Gothic" w:hAnsi="Century Gothic"/>
            <w:color w:val="07513A"/>
            <w:u w:val="single"/>
            <w:sz w:val="19"/>
          </w:rPr>
          <w:t>Lei nº 11.494/2007 — FUNDEB 2007–2020</w:t>
        </w:r>
      </w:hyperlink>
    </w:p>
    <w:p>
      <w:pPr>
        <w:pStyle w:val="ListBullet"/>
        <w:spacing w:after="100"/>
        <w:ind w:left="540" w:hanging="271"/>
      </w:pPr>
      <w:hyperlink r:id="rId17">
        <w:r>
          <w:rPr>
            <w:rFonts w:ascii="Century Gothic" w:hAnsi="Century Gothic"/>
            <w:color w:val="07513A"/>
            <w:u w:val="single"/>
            <w:sz w:val="19"/>
          </w:rPr>
          <w:t>Lei nº 14.113/2020 — FUNDEB permanente</w:t>
        </w:r>
      </w:hyperlink>
    </w:p>
    <w:p>
      <w:pPr>
        <w:pStyle w:val="ListBullet"/>
        <w:spacing w:after="100"/>
        <w:ind w:left="540" w:hanging="271"/>
      </w:pPr>
      <w:hyperlink r:id="rId18">
        <w:r>
          <w:rPr>
            <w:rFonts w:ascii="Century Gothic" w:hAnsi="Century Gothic"/>
            <w:color w:val="07513A"/>
            <w:u w:val="single"/>
            <w:sz w:val="19"/>
          </w:rPr>
          <w:t>Lei nº 14.325/2022 — recursos extraordinários e rateio</w:t>
        </w:r>
      </w:hyperlink>
    </w:p>
    <w:p>
      <w:pPr>
        <w:pStyle w:val="ListBullet"/>
        <w:spacing w:after="100"/>
        <w:ind w:left="540" w:hanging="271"/>
      </w:pPr>
      <w:hyperlink r:id="rId19">
        <w:r>
          <w:rPr>
            <w:rFonts w:ascii="Century Gothic" w:hAnsi="Century Gothic"/>
            <w:color w:val="07513A"/>
            <w:u w:val="single"/>
            <w:sz w:val="19"/>
          </w:rPr>
          <w:t>LDB — Lei nº 9.394/1996, arts. 69 a 71</w:t>
        </w:r>
      </w:hyperlink>
    </w:p>
    <w:p>
      <w:pPr>
        <w:pStyle w:val="ListBullet"/>
        <w:spacing w:after="100"/>
        <w:ind w:left="540" w:hanging="271"/>
      </w:pPr>
      <w:hyperlink r:id="rId20">
        <w:r>
          <w:rPr>
            <w:rFonts w:ascii="Century Gothic" w:hAnsi="Century Gothic"/>
            <w:color w:val="07513A"/>
            <w:u w:val="single"/>
            <w:sz w:val="19"/>
          </w:rPr>
          <w:t>Lei nº 4.320/1964 — execução da despesa</w:t>
        </w:r>
      </w:hyperlink>
    </w:p>
    <w:p>
      <w:pPr>
        <w:pStyle w:val="ListBullet"/>
        <w:spacing w:after="100"/>
        <w:ind w:left="540" w:hanging="271"/>
      </w:pPr>
      <w:hyperlink r:id="rId21">
        <w:r>
          <w:rPr>
            <w:rFonts w:ascii="Century Gothic" w:hAnsi="Century Gothic"/>
            <w:color w:val="07513A"/>
            <w:u w:val="single"/>
            <w:sz w:val="19"/>
          </w:rPr>
          <w:t>Lei nº 14.133/2021 — contratações públicas</w:t>
        </w:r>
      </w:hyperlink>
    </w:p>
    <w:p>
      <w:pPr>
        <w:pStyle w:val="ListBullet"/>
        <w:spacing w:after="100"/>
        <w:ind w:left="540" w:hanging="271"/>
      </w:pPr>
      <w:hyperlink r:id="rId22">
        <w:r>
          <w:rPr>
            <w:rFonts w:ascii="Century Gothic" w:hAnsi="Century Gothic"/>
            <w:color w:val="07513A"/>
            <w:u w:val="single"/>
            <w:sz w:val="19"/>
          </w:rPr>
          <w:t>TCU — síntese do Acórdão nº 1.893/2022-Plenário</w:t>
        </w:r>
      </w:hyperlink>
    </w:p>
    <w:p>
      <w:pPr>
        <w:pStyle w:val="ListBullet"/>
        <w:spacing w:after="100"/>
        <w:ind w:left="540" w:hanging="271"/>
      </w:pPr>
      <w:hyperlink r:id="rId23">
        <w:r>
          <w:rPr>
            <w:rFonts w:ascii="Century Gothic" w:hAnsi="Century Gothic"/>
            <w:color w:val="07513A"/>
            <w:u w:val="single"/>
            <w:sz w:val="19"/>
          </w:rPr>
          <w:t>TCU — juros de mora e contas não segregadas, Acórdão nº 53/2024</w:t>
        </w:r>
      </w:hyperlink>
    </w:p>
    <w:p>
      <w:pPr>
        <w:pStyle w:val="ListBullet"/>
        <w:spacing w:after="100"/>
        <w:ind w:left="540" w:hanging="271"/>
      </w:pPr>
      <w:hyperlink r:id="rId24">
        <w:r>
          <w:rPr>
            <w:rFonts w:ascii="Century Gothic" w:hAnsi="Century Gothic"/>
            <w:color w:val="07513A"/>
            <w:u w:val="single"/>
            <w:sz w:val="19"/>
          </w:rPr>
          <w:t>STN — Fonte ou Destinação de Recursos e Portaria nº 710/2021 atualizada</w:t>
        </w:r>
      </w:hyperlink>
    </w:p>
    <w:p>
      <w:pPr>
        <w:pStyle w:val="ListBullet"/>
        <w:spacing w:after="100"/>
        <w:ind w:left="540" w:hanging="271"/>
      </w:pPr>
      <w:hyperlink r:id="rId25">
        <w:r>
          <w:rPr>
            <w:rFonts w:ascii="Century Gothic" w:hAnsi="Century Gothic"/>
            <w:color w:val="07513A"/>
            <w:u w:val="single"/>
            <w:sz w:val="19"/>
          </w:rPr>
          <w:t>STN — MDF vigente e edições anteriores</w:t>
        </w:r>
      </w:hyperlink>
    </w:p>
    <w:p>
      <w:pPr>
        <w:pStyle w:val="ListBullet"/>
        <w:spacing w:after="100"/>
        <w:ind w:left="540" w:hanging="271"/>
      </w:pPr>
      <w:hyperlink r:id="rId26">
        <w:r>
          <w:rPr>
            <w:rFonts w:ascii="Century Gothic" w:hAnsi="Century Gothic"/>
            <w:color w:val="07513A"/>
            <w:u w:val="single"/>
            <w:sz w:val="19"/>
          </w:rPr>
          <w:t>STN/CTCONF — transparência dos precatórios FUNDEF/FUNDEB</w:t>
        </w:r>
      </w:hyperlink>
    </w:p>
    <w:p>
      <w:pPr>
        <w:pStyle w:val="ListBullet"/>
        <w:spacing w:after="100"/>
        <w:ind w:left="540" w:hanging="271"/>
      </w:pPr>
      <w:hyperlink r:id="rId27">
        <w:r>
          <w:rPr>
            <w:rFonts w:ascii="Century Gothic" w:hAnsi="Century Gothic"/>
            <w:color w:val="07513A"/>
            <w:u w:val="single"/>
            <w:sz w:val="19"/>
          </w:rPr>
          <w:t>FNDE — SIOPE</w:t>
        </w:r>
      </w:hyperlink>
    </w:p>
    <w:p>
      <w:pPr>
        <w:pStyle w:val="ListBullet"/>
        <w:spacing w:after="100"/>
        <w:ind w:left="540" w:hanging="271"/>
      </w:pPr>
      <w:hyperlink r:id="rId28">
        <w:r>
          <w:rPr>
            <w:rFonts w:ascii="Century Gothic" w:hAnsi="Century Gothic"/>
            <w:color w:val="07513A"/>
            <w:u w:val="single"/>
            <w:sz w:val="19"/>
          </w:rPr>
          <w:t>TCM-BA — Resolução nº 1.346/2016, atualizada pela Resolução nº 1.387/2019</w:t>
        </w:r>
      </w:hyperlink>
    </w:p>
    <w:p>
      <w:pPr>
        <w:pStyle w:val="ListBullet"/>
        <w:spacing w:after="100"/>
        <w:ind w:left="540" w:hanging="271"/>
      </w:pPr>
      <w:hyperlink r:id="rId29">
        <w:r>
          <w:rPr>
            <w:rFonts w:ascii="Century Gothic" w:hAnsi="Century Gothic"/>
            <w:color w:val="07513A"/>
            <w:u w:val="single"/>
            <w:sz w:val="19"/>
          </w:rPr>
          <w:t>TCM-BA — Resolução nº 1.430/2021</w:t>
        </w:r>
      </w:hyperlink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FF2CC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7A5A00"/>
                <w:sz w:val="19"/>
              </w:rPr>
              <w:t xml:space="preserve">Controle temporal: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Fontes consultadas em 15/08/2026. Para fatos de 2019–2023, usar o MDF, o leiaute do RREO, o mapeamento e a classificação de fonte vigentes em cada exercício. A edição vigente em 2026 não substitui retroativamente as versões históricas.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sectPr w:rsidR="00FC693F" w:rsidRPr="0006063C" w:rsidSect="00034616">
      <w:headerReference w:type="default" r:id="rId9"/>
      <w:footerReference w:type="default" r:id="rId11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entury Gothic" w:hAnsi="Century Gothic" w:eastAsia="Century Gothic"/>
        <w:b w:val="0"/>
        <w:i w:val="0"/>
        <w:color w:val="5F6B66"/>
        <w:sz w:val="16"/>
      </w:rPr>
      <w:t xml:space="preserve">ELOS · CEAT/MPBA  | 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entury Gothic" w:hAnsi="Century Gothic" w:eastAsia="Century Gothic"/>
        <w:b w:val="0"/>
        <w:i w:val="0"/>
        <w:color w:val="5F6B66"/>
        <w:sz w:val="16"/>
      </w:rPr>
      <w:t xml:space="preserve">ELOS · CEAT/MPBA  | 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center"/>
      <w:tblLayout w:type="fixed"/>
      <w:tblLook w:firstColumn="1" w:firstRow="1" w:lastColumn="0" w:lastRow="0" w:noHBand="0" w:noVBand="1" w:val="04A0"/>
      <w:tblInd w:w="120" w:type="dxa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750"/>
      <w:gridCol w:w="2610"/>
    </w:tblGrid>
    <w:tr>
      <w:trPr>
        <w:cantSplit/>
      </w:trPr>
      <w:tc>
        <w:tcPr>
          <w:tcW w:type="dxa" w:w="6750"/>
          <w:tcMar>
            <w:top w:w="100" w:type="dxa"/>
            <w:bottom w:w="100" w:type="dxa"/>
            <w:start w:w="120" w:type="dxa"/>
            <w:end w:w="120" w:type="dxa"/>
          </w:tcMar>
          <w:vAlign w:val="center"/>
        </w:tcPr>
        <w:p>
          <w:pPr>
            <w:spacing w:before="0" w:after="0" w:line="278" w:lineRule="auto"/>
          </w:pPr>
          <w:r/>
          <w:r>
            <w:rPr>
              <w:rFonts w:ascii="Century Gothic" w:hAnsi="Century Gothic" w:eastAsia="Century Gothic"/>
              <w:b/>
              <w:i w:val="0"/>
              <w:color w:val="07513A"/>
              <w:sz w:val="17"/>
            </w:rPr>
            <w:t>Módulo 4 · Metodologia de auditoria</w:t>
          </w:r>
        </w:p>
      </w:tc>
      <w:tc>
        <w:tcPr>
          <w:tcW w:type="dxa" w:w="2610"/>
          <w:tcMar>
            <w:top w:w="100" w:type="dxa"/>
            <w:bottom w:w="100" w:type="dxa"/>
            <w:start w:w="120" w:type="dxa"/>
            <w:end w:w="120" w:type="dxa"/>
          </w:tcMar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85800" cy="399985"/>
                <wp:docPr id="1" name="Picture 1" descr="Logomarca da Elos Consultoria e Treinamento" title="Elos Consultoria e Treinament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elos-ofici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39998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center"/>
      <w:tblLayout w:type="fixed"/>
      <w:tblLook w:firstColumn="1" w:firstRow="1" w:lastColumn="0" w:lastRow="0" w:noHBand="0" w:noVBand="1" w:val="04A0"/>
      <w:tblInd w:w="120" w:type="dxa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750"/>
      <w:gridCol w:w="2610"/>
    </w:tblGrid>
    <w:tr>
      <w:trPr>
        <w:cantSplit/>
      </w:trPr>
      <w:tc>
        <w:tcPr>
          <w:tcW w:type="dxa" w:w="6750"/>
          <w:tcMar>
            <w:top w:w="100" w:type="dxa"/>
            <w:bottom w:w="100" w:type="dxa"/>
            <w:start w:w="120" w:type="dxa"/>
            <w:end w:w="120" w:type="dxa"/>
          </w:tcMar>
          <w:vAlign w:val="center"/>
        </w:tcPr>
        <w:p>
          <w:pPr>
            <w:spacing w:before="0" w:after="0" w:line="278" w:lineRule="auto"/>
          </w:pPr>
          <w:r/>
          <w:r>
            <w:rPr>
              <w:rFonts w:ascii="Century Gothic" w:hAnsi="Century Gothic" w:eastAsia="Century Gothic"/>
              <w:b/>
              <w:i w:val="0"/>
              <w:color w:val="07513A"/>
              <w:sz w:val="17"/>
            </w:rPr>
            <w:t>Módulo 4 · Metodologia de auditoria</w:t>
          </w:r>
        </w:p>
      </w:tc>
      <w:tc>
        <w:tcPr>
          <w:tcW w:type="dxa" w:w="2610"/>
          <w:tcMar>
            <w:top w:w="100" w:type="dxa"/>
            <w:bottom w:w="100" w:type="dxa"/>
            <w:start w:w="120" w:type="dxa"/>
            <w:end w:w="120" w:type="dxa"/>
          </w:tcMar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85800" cy="399985"/>
                <wp:docPr id="1" name="Picture 1" descr="Logomarca da Elos Consultoria e Treinamento" title="Elos Consultoria e Treinament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elos-ofici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39998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entury Gothic" w:hAnsi="Century Gothic"/>
      <w:color w:val="2020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entury Gothic" w:hAnsi="Century Gothic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720" w:hanging="360"/>
      <w:contextualSpacing/>
    </w:pPr>
    <w:rPr>
      <w:rFonts w:ascii="Century Gothic" w:hAnsi="Century Gothic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https://www.planalto.gov.br/ccivil_03/constituicao/constituicao.htm" TargetMode="External"/><Relationship Id="rId14" Type="http://schemas.openxmlformats.org/officeDocument/2006/relationships/hyperlink" Target="https://www.planalto.gov.br/ccivil_03/constituicao/emendas/emc/emc114.htm" TargetMode="External"/><Relationship Id="rId15" Type="http://schemas.openxmlformats.org/officeDocument/2006/relationships/hyperlink" Target="https://www.planalto.gov.br/ccivil_03/leis/l9424.htm" TargetMode="External"/><Relationship Id="rId16" Type="http://schemas.openxmlformats.org/officeDocument/2006/relationships/hyperlink" Target="https://www.planalto.gov.br/ccivil_03/_ato2007-2010/2007/lei/l11494.htm" TargetMode="External"/><Relationship Id="rId17" Type="http://schemas.openxmlformats.org/officeDocument/2006/relationships/hyperlink" Target="https://www.planalto.gov.br/ccivil_03/_ato2019-2022/2020/lei/l14113.htm" TargetMode="External"/><Relationship Id="rId18" Type="http://schemas.openxmlformats.org/officeDocument/2006/relationships/hyperlink" Target="https://www.planalto.gov.br/ccivil_03/_ato2019-2022/2022/lei/l14325.htm" TargetMode="External"/><Relationship Id="rId19" Type="http://schemas.openxmlformats.org/officeDocument/2006/relationships/hyperlink" Target="https://www.planalto.gov.br/ccivil_03/leis/l9394.htm" TargetMode="External"/><Relationship Id="rId20" Type="http://schemas.openxmlformats.org/officeDocument/2006/relationships/hyperlink" Target="https://www.planalto.gov.br/ccivil_03/leis/l4320.htm" TargetMode="External"/><Relationship Id="rId21" Type="http://schemas.openxmlformats.org/officeDocument/2006/relationships/hyperlink" Target="https://www.planalto.gov.br/ccivil_03/_ato2019-2022/2021/lei/l14133.htm" TargetMode="External"/><Relationship Id="rId22" Type="http://schemas.openxmlformats.org/officeDocument/2006/relationships/hyperlink" Target="https://www.gov.br/fnde/pt-br/acesso-a-informacao/acoes-e-programas/financiamento/fundeb/avisos-informes-tcu-mpf/informes-tcu/acordao-no-1893-2022" TargetMode="External"/><Relationship Id="rId23" Type="http://schemas.openxmlformats.org/officeDocument/2006/relationships/hyperlink" Target="https://portal.tcu.gov.br/imprensa/noticias/secao-das-sessoes-2024-02-07" TargetMode="External"/><Relationship Id="rId24" Type="http://schemas.openxmlformats.org/officeDocument/2006/relationships/hyperlink" Target="https://www.gov.br/tesouronacional/pt-br/contabilidade-e-custos/federacao/fonte-ou-destinacao-de-recursos" TargetMode="External"/><Relationship Id="rId25" Type="http://schemas.openxmlformats.org/officeDocument/2006/relationships/hyperlink" Target="https://www.gov.br/tesouronacional/pt-br/contabilidade-e-custos/manuais/manual-de-demonstrativos-fiscais-mdf" TargetMode="External"/><Relationship Id="rId26" Type="http://schemas.openxmlformats.org/officeDocument/2006/relationships/hyperlink" Target="https://cdn.tesouro.gov.br/sistemas-internos/apex/producao/sistemas/thot/arquivos/publicacoes/50835_2433003/anexos/23942_766652/37%C2%AA_%20CTCONF_Item_3-Precat%C3%B3rios%20Fundef-Fundeb.pdf" TargetMode="External"/><Relationship Id="rId27" Type="http://schemas.openxmlformats.org/officeDocument/2006/relationships/hyperlink" Target="https://www.gov.br/fnde/pt-br/assuntos/sistemas/siope" TargetMode="External"/><Relationship Id="rId28" Type="http://schemas.openxmlformats.org/officeDocument/2006/relationships/hyperlink" Target="https://www.tcm.ba.gov.br/wp-content/uploads/2016/09/resolucao-1346-16_precatorios-x-fundef-atualizada-17-10-2019.doc" TargetMode="External"/><Relationship Id="rId29" Type="http://schemas.openxmlformats.org/officeDocument/2006/relationships/hyperlink" Target="https://www.tcm.ba.gov.br/wp-content/uploads/2021/11/resol-1430_2021_public-29-10-2021_minuta-de-resolucao-do-fundeb-final-1.pdf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Metodologia de Auditoria — FUNDEF/FUNDEB</dc:title>
  <dc:subject>Revisão técnica das considerações e rotinas do Módulo 4</dc:subject>
  <dc:creator>Elos Consultoria e Treinamento</dc:creator>
  <cp:keywords>FUNDEF, FUNDEB, precatórios, auditoria, TCM-BA, CEAT, SIOPE, RREO, MDE</cp:keywords>
  <dc:description>Documento produzido para análise antes da incorporação aos slides e à plataforma.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