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48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CEAT · MINISTÉRIO PÚBLICO DO ESTADO DA BAHIA</w:t>
      </w:r>
    </w:p>
    <w:p>
      <w:pPr>
        <w:keepNext/>
        <w:spacing w:before="0" w:after="4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50"/>
        </w:rPr>
        <w:t>Metodologia de Auditoria</w:t>
      </w:r>
    </w:p>
    <w:p>
      <w:pPr>
        <w:keepNext/>
        <w:spacing w:before="0" w:after="16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44"/>
        </w:rPr>
        <w:t>Gastos com Festejos Juninos</w:t>
      </w:r>
    </w:p>
    <w:p>
      <w:pPr>
        <w:keepNext w:val="0"/>
        <w:spacing w:before="0" w:after="36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5F6B66"/>
          <w:sz w:val="26"/>
        </w:rPr>
        <w:t>Revisão técnica do roteiro de quesitos · Módulo 3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Documento analisado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Quesitos - Festejos v4 - apuração das despesas executadas(3).docx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Finalidade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Orientar os contadores do CEAT na produção de respostas técnicas rastreáveis e reproduzíveis.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Escopo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Planejamento, contratação, execução, capacidade financeira, impacto fiscal, emergência e síntese.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Método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Critério → risco → evidência → teste → cálculo → achado/limitação → resposta → revisão.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Controle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Material de apoio. Exige validação humana, conferência do inteiro teor das normas e revisão do caso concreto.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Parecer executivo sobre o roteiro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O roteiro é tecnicamente aproveitável, mas necessita ajustes substanciais. Nenhum quesito deve ser excluído. Recomenda-se agrupar os testes repetidos em oito papéis de trabalho e responder cada pergunta por referência cruzada.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ageBreakBefore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300"/>
        <w:gridCol w:w="3480"/>
        <w:gridCol w:w="4580"/>
      </w:tblGrid>
      <w:tr>
        <w:trPr>
          <w:cantSplit/>
          <w:tblHeader w:val="true"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Decisão</w:t>
            </w:r>
          </w:p>
        </w:tc>
        <w:tc>
          <w:tcPr>
            <w:tcW w:type="dxa" w:w="34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Conteúdo do roteiro</w:t>
            </w:r>
          </w:p>
        </w:tc>
        <w:tc>
          <w:tcPr>
            <w:tcW w:type="dxa" w:w="45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Tratamento</w:t>
            </w:r>
          </w:p>
        </w:tc>
      </w:tr>
      <w:tr>
        <w:trPr>
          <w:cantSplit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Manter</w:t>
            </w:r>
          </w:p>
        </w:tc>
        <w:tc>
          <w:tcPr>
            <w:tcW w:type="dxa" w:w="34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LOA/QDD, saldo da dotação, empenho, liquidação, pagamento, fontes, caixa, RCL, emergência e comparação com políticas essenciais.</w:t>
            </w:r>
          </w:p>
        </w:tc>
        <w:tc>
          <w:tcPr>
            <w:tcW w:type="dxa" w:w="45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Transformar em testes reproduzíveis, por data, fonte e documento.</w:t>
            </w:r>
          </w:p>
        </w:tc>
      </w:tr>
      <w:tr>
        <w:trPr>
          <w:cantSplit/>
        </w:trPr>
        <w:tc>
          <w:tcPr>
            <w:tcW w:type="dxa" w:w="1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Ajustar</w:t>
            </w:r>
          </w:p>
        </w:tc>
        <w:tc>
          <w:tcPr>
            <w:tcW w:type="dxa" w:w="34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Exigência de Função Cultura; caixa bruto; uso do Anexo 5 mensal; inferência de causalidade; priorização indevida; uso do Siconfi.IA.</w:t>
            </w:r>
          </w:p>
        </w:tc>
        <w:tc>
          <w:tcPr>
            <w:tcW w:type="dxa" w:w="45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Aplicar compatibilidade material, caixa líquido por fonte, indicador gerencial mensal, cenário causal e limites de competência.</w:t>
            </w:r>
          </w:p>
        </w:tc>
      </w:tr>
      <w:tr>
        <w:trPr>
          <w:cantSplit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Incluir</w:t>
            </w:r>
          </w:p>
        </w:tc>
        <w:tc>
          <w:tcPr>
            <w:tcW w:type="dxa" w:w="34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Universo integral do evento; contratação/economicidade; PNCP; exclusividade; custos acessórios; adiantamentos; banco; retenções; ordem cronológica; regime temporal.</w:t>
            </w:r>
          </w:p>
        </w:tc>
        <w:tc>
          <w:tcPr>
            <w:tcW w:type="dxa" w:w="45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Incorporar aos PT-01, PT-03 e PT-04 e aos prompts.</w:t>
            </w:r>
          </w:p>
        </w:tc>
      </w:tr>
      <w:tr>
        <w:trPr>
          <w:cantSplit/>
        </w:trPr>
        <w:tc>
          <w:tcPr>
            <w:tcW w:type="dxa" w:w="1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Consolidar</w:t>
            </w:r>
          </w:p>
        </w:tc>
        <w:tc>
          <w:tcPr>
            <w:tcW w:type="dxa" w:w="34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Comandos repetidos e procedimentos idênticos nos QF-01/QF-06, QF-02/QF-05 e QF-04/QF-07.</w:t>
            </w:r>
          </w:p>
        </w:tc>
        <w:tc>
          <w:tcPr>
            <w:tcW w:type="dxa" w:w="45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Executar uma vez, preservar trilha e emitir respostas autônomas.</w:t>
            </w:r>
          </w:p>
        </w:tc>
      </w:tr>
      <w:tr>
        <w:trPr>
          <w:cantSplit/>
        </w:trPr>
        <w:tc>
          <w:tcPr>
            <w:tcW w:type="dxa" w:w="1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Excluir</w:t>
            </w:r>
          </w:p>
        </w:tc>
        <w:tc>
          <w:tcPr>
            <w:tcW w:type="dxa" w:w="34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Nenhum quesito do demandante.</w:t>
            </w:r>
          </w:p>
        </w:tc>
        <w:tc>
          <w:tcPr>
            <w:tcW w:type="dxa" w:w="45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Excluir apenas duplicações textuais e fórmulas que induzam conclusão automática.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Ajustes técnicos determinantes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classificação Função 13/Subfunção 392 é frequente, mas não é uma regra universal. O teste deve partir do objeto real e da classificação adotada, inclusive para detectar classificação indevida fora da Cultura.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saldo relevante é o existente antes do empenho/assunção da obrigação, após créditos e anulações válidos. O saldo final do exercício não comprova suficiência na data da contratação.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/>
          <w:sz w:val="20"/>
        </w:rPr>
        <w:t>A disponibilidade de caixa pode ser reconstruída mensalmente com o Ending_Balance da MSC, aplicando-se o mapeamento do Anexo 5 do RGF à competência selecionada. Nos períodos 01 a 11, o resultado é estimativa gerencial; no mês 12/período 13, é memória de fechamento a conciliar com o demonstrativo oficial. Fontes negativas não podem ser compensadas.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Somente fontes legalmente aptas e recursos temporalmente disponíveis podem financiar o evento. Caixa vinculado não integra a cobertura de gasto livre.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RCL e outros percentuais medem materialidade. Não constituem, isoladamente, teto legal, sobrepreço ou prova de incapacidade.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Nota Técnica Conjunta nº 01/2026 é aplicável ao ciclo de 2026; não deve ser convertida em critério retroativo para a festa de 2022.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Siconfi.IA é fonte auxiliar de consulta. Na versão inicial de 2026, sua cobertura anunciada concentra-se no RGF e no Anexo 14 do RREO; valores e conceitos devem ser confirmados nos demonstrativos oficiais, MSC e documentos dos autos.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saúde financeira exige série e nexo. Piora após o evento é correlação; o cenário sem evento apenas estima contribuição contábil máxima.</w:t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Integração da Cartilha Informativa — Festejos Juninos 2026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Leitura técnica: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A cartilha é uma síntese didática das orientações preventivas. Para auditoria, seus comandos devem ser convertidos em testes reproduzíveis e lidos em conjunto com as Notas Técnicas Conjuntas nº 01 e 02/2026, a Lei nº 14.133/2021, a LRF e os demonstrativos oficiais.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500"/>
        <w:gridCol w:w="4360"/>
        <w:gridCol w:w="2500"/>
      </w:tblGrid>
      <w:tr>
        <w:trPr>
          <w:cantSplit/>
          <w:tblHeader w:val="true"/>
        </w:trPr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Mensagem da cartilha</w:t>
            </w:r>
          </w:p>
        </w:tc>
        <w:tc>
          <w:tcPr>
            <w:tcW w:type="dxa" w:w="4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Tradução para o roteiro de auditoria</w:t>
            </w:r>
          </w:p>
        </w:tc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Cautela de conclusão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Média dos cachês do São João de 2025, no mesmo Estado, atualizada pelo IPCA.</w:t>
            </w:r>
          </w:p>
        </w:tc>
        <w:tc>
          <w:tcPr>
            <w:tcW w:type="dxa" w:w="4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Padronizar artista e CPF/CNPJ; pesquisar contratos de 1º/5 a 31/7/2025; excluir não comparáveis; segregar acessórios; calcular média e atualização com memória.</w:t>
            </w:r>
          </w:p>
        </w:tc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 média é referência de comparabilidade, não preço automaticamente regular.</w:t>
            </w:r>
          </w:p>
        </w:tc>
      </w:tr>
      <w:tr>
        <w:trPr>
          <w:cantSplit/>
        </w:trPr>
        <w:tc>
          <w:tcPr>
            <w:tcW w:type="dxa" w:w="25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Se não houver dados suficientes, ampliar a pesquisa.</w:t>
            </w:r>
          </w:p>
        </w:tc>
        <w:tc>
          <w:tcPr>
            <w:tcW w:type="dxa" w:w="4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Pesquisar os 12 meses anteriores, justificar recorte e comparabilidade; se ainda insuficiente, exigir prova do contratado nos termos do art. 23, § 4º.</w:t>
            </w:r>
          </w:p>
        </w:tc>
        <w:tc>
          <w:tcPr>
            <w:tcW w:type="dxa" w:w="25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Não preencher lacunas com estimativas; admitir conclusão inconclusiva e propor diligência.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Contratações acima de R$ 700 mil exigem atenção especial.</w:t>
            </w:r>
          </w:p>
        </w:tc>
        <w:tc>
          <w:tcPr>
            <w:tcW w:type="dxa" w:w="4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Acionar teste de alta materialidade e exigir fundamentação e documentação financeira reforçadas.</w:t>
            </w:r>
          </w:p>
        </w:tc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R$ 700 mil não é teto, limite legal, autorização prévia ou presunção de sobrepreço.</w:t>
            </w:r>
          </w:p>
        </w:tc>
      </w:tr>
      <w:tr>
        <w:trPr>
          <w:cantSplit/>
        </w:trPr>
        <w:tc>
          <w:tcPr>
            <w:tcW w:type="dxa" w:w="25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Avaliar capacidade financeira do Município.</w:t>
            </w:r>
          </w:p>
        </w:tc>
        <w:tc>
          <w:tcPr>
            <w:tcW w:type="dxa" w:w="4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Examinar RREO, RGF, caixa por fonte, obrigações, folha, controle interno, emergência/calamidade e continuidade dos serviços prioritários.</w:t>
            </w:r>
          </w:p>
        </w:tc>
        <w:tc>
          <w:tcPr>
            <w:tcW w:type="dxa" w:w="25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Caixa bruto ou um único indicador não demonstram capacidade de pagamento.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Comparar o gasto total do evento com o exercício anterior.</w:t>
            </w:r>
          </w:p>
        </w:tc>
        <w:tc>
          <w:tcPr>
            <w:tcW w:type="dxa" w:w="4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Somar todos os custos atribuíveis, atualizar a base anterior pelo IPCA e analisar variação real, escopo, duração, público e recursos externos comprovados.</w:t>
            </w:r>
          </w:p>
        </w:tc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Preço individual compatível não comprova economicidade global.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Rotina CT-01 — economicidade individual da atração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o artista por nome normalizado e CPF/CNPJ; pesquisar também o empresário ou representante exclusivo.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Coletar todos os contratos comparáveis celebrados na Bahia entre 1º de maio e 31 de julho de 2025; registrar fonte, URL, data da coleta, contrato, data, praça e evidência.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Separar o cachê dos custos de transporte, hospedagem, alimentação, rider, produção e demais acessórios. Ajustar diferenças de duração, formato e escopo e justificar cada inclusão ou exclusão.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Calcular: média do cachê = soma dos cachês comparáveis ÷ quantidade de contratos válidos; referência atualizada = média × (1 + IPCA acumulado aplicável).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Confrontar o preço proposto com a referência atualizada e explicar diferenças. O exemplo da cartilha — R$ 300 mil, R$ 350 mil e R$ 400 mil — produz média de R$ 350 mil; o IPCA de 4,4% utilizado ali é hipotético e deve ser substituído pelo índice oficial aplicável.</w:t>
      </w:r>
    </w:p>
    <w:p>
      <w:pPr>
        <w:pStyle w:val="ListNumber"/>
        <w:keepNext w:val="0"/>
        <w:keepLines/>
        <w:numPr>
          <w:ilvl w:val="0"/>
          <w:numId w:val="1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 a população for insuficiente, ampliar para os 12 meses anteriores, registrar a mudança do recorte e aplicar o art. 23, § 4º, da Lei nº 14.133/2021. Notoriedade adquirida em 2026 somente explica aumento se houver evidência contemporânea da mudança de mercado.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Saída mínima: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Tabela de comparáveis; critérios de inclusão/exclusão; cachê líquido de acessórios; média; IPCA, período e fonte; preço proposto; diferença nominal e percentual; conclusão e limitações.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Rotina CT-02 — alta materialidade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se o cachê individual alcança R$ 700 mil. Se sim, registrar o acionamento do alerta estatístico, sem classificá-lo como teto ou irregularidade.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Exigir justificativa detalhada do preço, comparáveis, memória de cálculo e explicação de escopo.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Obter os RREO e RGF mais recentes, apurar disponibilidade de caixa por fonte e listar restos a pagar, despesas liquidadas e demais obrigações exigíveis.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Obter manifestação do controle interno e comprovação da regularidade da folha e das obrigações essenciais.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Obter declaração do chefe do Executivo sobre emergência/calamidade e declaração de ausência de suplementação ou remanejamento para Cultura, salvo superávit financeiro efetivamente demonstrado.</w:t>
      </w:r>
    </w:p>
    <w:p>
      <w:pPr>
        <w:pStyle w:val="ListNumber"/>
        <w:keepNext w:val="0"/>
        <w:keepLines/>
        <w:numPr>
          <w:ilvl w:val="0"/>
          <w:numId w:val="1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Concluir se o conjunto documental demonstra capacidade de pagamento sem comprometer serviços prioritários; apontar separadamente insuficiência documental e incompatibilidade material.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Rotina CT-03 — economicidade global do evento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Formar o custo total: atrações, palco, som, iluminação, gerador, segurança, limpeza, banheiros, hospedagem, transporte, publicidade, decoração e outros custos diretamente atribuíveis; eliminar duplicidades.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Selecionar evento-base comparável, preferencialmente o mesmo festejo do exercício anterior, e comprovar o total executado no mesmo estágio contábil.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Calcular: base atualizada = gasto total do evento-base × (1 + IPCA); variação real = (gasto atual − base atualizada) ÷ base atualizada.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Explicar alterações de dias, público, atrações, estrutura, preços unitários e fontes externas efetivamente ingressadas; receitas apenas estimadas não reduzem o custo próprio.</w:t>
      </w:r>
    </w:p>
    <w:p>
      <w:pPr>
        <w:pStyle w:val="ListNumber"/>
        <w:keepNext w:val="0"/>
        <w:keepLines/>
        <w:numPr>
          <w:ilvl w:val="0"/>
          <w:numId w:val="1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Confrontar o aumento real com capacidade fiscal, prioridades, obrigações e motivação administrativa. Classificar a conclusão como compatível, não compatível ou inconclusiva.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Rotina CT-04 — série histórica expandida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Formar a série de 1º de maio de 2025 a 30 de abril de 2026, usando contratos públicos como base principal e identificando o artista por nome normalizado e CPF/CNPJ.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Registrar cada contrato em linha própria: mês, data, contratante, UF, processo/contrato, valor total, custos acessórios, valor artístico, fonte, URL, documento e página.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Admitir contrato privado somente quando a base pública for insuficiente e houver documento fiscal idôneo, identificação das partes, local, objeto, valor artístico e composição comparável dos acessórios.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Resumir cada mês pela quantidade de contratos, soma do valor artístico, média mensal, documentos e fontes. Mês sem contrato verificável deve ser registrado como ‘sem registro’, sem entrar como zero.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Calcular a média histórica expandida pela soma dos valores artísticos nominais dividida pelo total de contratos válidos; atualizar posteriormente pelo IPCA e anexar a memória.</w:t>
      </w:r>
    </w:p>
    <w:p>
      <w:pPr>
        <w:pStyle w:val="ListNumber"/>
        <w:keepNext w:val="0"/>
        <w:keepLines/>
        <w:numPr>
          <w:ilvl w:val="0"/>
          <w:numId w:val="1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Preservar a trilha para reprodução independente e justificar toda inclusão, exclusão, duplicidade, cancelamento ou diferença de escopo.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Rotina CT-05 — ganho de notoriedade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Testar exclusivamente os critérios 5.1 a 5.6 da Nota Técnica nº 02/2026, com base em documentos datados e verificáveis.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Exigir pelo menos dois critérios comprovados e, cumulativamente, pelo menos um dos critérios centrais: 5.1 aumento da média mensal de contratos; 5.2 expansão territorial; ou 5.3 aumento do valor artístico na série.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5.4 e 5.5, usar relatórios nativos de plataformas, perfil oficial, URL e medições comparáveis até 31/7/2025 e até 30/4/2026. Esses dois critérios, isoladamente, não bastam.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5.6, preservar ranking, certificação ou relatório público com data, fonte e identificação da obra/artista.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Classificar cada critério como comprovado, não comprovado ou inconclusivo. Não substituir os critérios listados por percepção pública, notícia sem lastro ou estimativa informal.</w:t>
      </w:r>
    </w:p>
    <w:p>
      <w:pPr>
        <w:pStyle w:val="ListNumber"/>
        <w:keepNext w:val="0"/>
        <w:keepLines/>
        <w:numPr>
          <w:ilvl w:val="0"/>
          <w:numId w:val="1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 a notoriedade não for demonstrada, manter a referência ordinária da Nota Técnica nº 01/2026 e a análise integral da justificativa de preço.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Rotina CT-06 — compromisso, ponto médio e custos diretos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o valor original de 2026 em proposta, contrato, publicação ou documento equivalente para apresentação entre 1º de maio e 31 de julho de 2026.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se o valor de compromisso é inferior ao original. Havendo notoriedade demonstrada, calcular o ponto médio = (referência atualizada da NT nº 01/2026 + valor original de 2026) ÷ 2 e exigir compromisso igual ou inferior a ele.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Calcular economia unitária = original − compromisso; para várias contratações, somar as economias unitárias sem compensações entre contratos.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Declarar em planilha separada todo custo assumido diretamente pelo Município fora do cachê — transporte, hospedagem, alimentação, rider, produção, taxas e outros — e calcular o impacto público total.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Comparar a proposta original com a configuração final para detectar criação, aumento ou transferência artificial de rubricas que neutralizem a redução.</w:t>
      </w:r>
    </w:p>
    <w:p>
      <w:pPr>
        <w:pStyle w:val="ListNumber"/>
        <w:keepNext w:val="0"/>
        <w:keepLines/>
        <w:numPr>
          <w:ilvl w:val="0"/>
          <w:numId w:val="15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Registrar por contratação Município, evento, data, original, referência NT01, ponto médio, compromisso, economia e fontes. O compromisso não é TAC, sanção, piso, autorização ou chancela.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Case didático — aplicação integrada das Notas Técnicas nº 01 e 02/2026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FF2CC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7A5A00"/>
                <w:sz w:val="19"/>
              </w:rPr>
              <w:t xml:space="preserve">Natureza: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Todos os nomes e valores deste case são fictícios e servem somente para exercitar a planilha. O IPCA de 4,4% é hipotético e deve ser substituído pelo índice oficial aplicável em um caso real.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700"/>
        <w:gridCol w:w="4300"/>
        <w:gridCol w:w="3360"/>
      </w:tblGrid>
      <w:tr>
        <w:trPr>
          <w:cantSplit/>
          <w:tblHeader w:val="true"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Etapa</w:t>
            </w:r>
          </w:p>
        </w:tc>
        <w:tc>
          <w:tcPr>
            <w:tcW w:type="dxa" w:w="4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Entrada/cálculo</w:t>
            </w:r>
          </w:p>
        </w:tc>
        <w:tc>
          <w:tcPr>
            <w:tcW w:type="dxa" w:w="3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Resultado e teste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Referência NT01</w:t>
            </w:r>
          </w:p>
        </w:tc>
        <w:tc>
          <w:tcPr>
            <w:tcW w:type="dxa" w:w="4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Cachês comparáveis de R$ 300 mil, R$ 350 mil e R$ 400 mil; média = soma ÷ 3.</w:t>
            </w:r>
          </w:p>
        </w:tc>
        <w:tc>
          <w:tcPr>
            <w:tcW w:type="dxa" w:w="3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Média nominal de R$ 350 mil.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Atualização</w:t>
            </w:r>
          </w:p>
        </w:tc>
        <w:tc>
          <w:tcPr>
            <w:tcW w:type="dxa" w:w="4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R$ 350 mil × (1 + 4,4%).</w:t>
            </w:r>
          </w:p>
        </w:tc>
        <w:tc>
          <w:tcPr>
            <w:tcW w:type="dxa" w:w="3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Referência didática atualizada de R$ 365,4 mil.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Original 2026</w:t>
            </w:r>
          </w:p>
        </w:tc>
        <w:tc>
          <w:tcPr>
            <w:tcW w:type="dxa" w:w="4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Proposta de R$ 800 mil.</w:t>
            </w:r>
          </w:p>
        </w:tc>
        <w:tc>
          <w:tcPr>
            <w:tcW w:type="dxa" w:w="3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Aciona o alerta de R$ 700 mil; o alerta não é teto ou presunção.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Notoriedade</w:t>
            </w:r>
          </w:p>
        </w:tc>
        <w:tc>
          <w:tcPr>
            <w:tcW w:type="dxa" w:w="4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Critérios 5.1 e 5.2 comprovados.</w:t>
            </w:r>
          </w:p>
        </w:tc>
        <w:tc>
          <w:tcPr>
            <w:tcW w:type="dxa" w:w="3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Dois critérios e ambos centrais: requisito demonstrado.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Ponto médio</w:t>
            </w:r>
          </w:p>
        </w:tc>
        <w:tc>
          <w:tcPr>
            <w:tcW w:type="dxa" w:w="4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(R$ 365,4 mil + R$ 800 mil) ÷ 2.</w:t>
            </w:r>
          </w:p>
        </w:tc>
        <w:tc>
          <w:tcPr>
            <w:tcW w:type="dxa" w:w="3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R$ 582,7 mil.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Compromisso</w:t>
            </w:r>
          </w:p>
        </w:tc>
        <w:tc>
          <w:tcPr>
            <w:tcW w:type="dxa" w:w="4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R$ 580 mil.</w:t>
            </w:r>
          </w:p>
        </w:tc>
        <w:tc>
          <w:tcPr>
            <w:tcW w:type="dxa" w:w="3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Inferior ao original e ao ponto médio.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Economia</w:t>
            </w:r>
          </w:p>
        </w:tc>
        <w:tc>
          <w:tcPr>
            <w:tcW w:type="dxa" w:w="4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R$ 800 mil − R$ 580 mil; dividir por R$ 800 mil.</w:t>
            </w:r>
          </w:p>
        </w:tc>
        <w:tc>
          <w:tcPr>
            <w:tcW w:type="dxa" w:w="3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R$ 220 mil e 27,5%.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Custos diretos</w:t>
            </w:r>
          </w:p>
        </w:tc>
        <w:tc>
          <w:tcPr>
            <w:tcW w:type="dxa" w:w="4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Transporte R$ 25 mil; hospedagem R$ 12 mil; rider R$ 13 mil.</w:t>
            </w:r>
          </w:p>
        </w:tc>
        <w:tc>
          <w:tcPr>
            <w:tcW w:type="dxa" w:w="3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R$ 50 mil em planilha separada; impacto público total de R$ 630 mil.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Conclusão</w:t>
            </w:r>
          </w:p>
        </w:tc>
        <w:tc>
          <w:tcPr>
            <w:tcW w:type="dxa" w:w="4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Reexecutar capacidade financeira, economicidade global, transparência e regularidade do processo.</w:t>
            </w:r>
          </w:p>
        </w:tc>
        <w:tc>
          <w:tcPr>
            <w:tcW w:type="dxa" w:w="3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O limite matemático foi atendido; a regularidade permanece sujeita à instrução integral e revisão.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Arquitetura dos papéis de trabalho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000"/>
        <w:gridCol w:w="5360"/>
        <w:gridCol w:w="3000"/>
      </w:tblGrid>
      <w:tr>
        <w:trPr>
          <w:cantSplit/>
          <w:tblHeader w:val="true"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PT</w:t>
            </w:r>
          </w:p>
        </w:tc>
        <w:tc>
          <w:tcPr>
            <w:tcW w:type="dxa" w:w="5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Finalidade</w:t>
            </w:r>
          </w:p>
        </w:tc>
        <w:tc>
          <w:tcPr>
            <w:tcW w:type="dxa" w:w="3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Quesitos atendidos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PT-01</w:t>
            </w:r>
          </w:p>
        </w:tc>
        <w:tc>
          <w:tcPr>
            <w:tcW w:type="dxa" w:w="5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Inventário, completude e reconciliação do universo do evento</w:t>
            </w:r>
          </w:p>
        </w:tc>
        <w:tc>
          <w:tcPr>
            <w:tcW w:type="dxa" w:w="3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Todos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PT-02</w:t>
            </w:r>
          </w:p>
        </w:tc>
        <w:tc>
          <w:tcPr>
            <w:tcW w:type="dxa" w:w="5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Autorização, créditos, classificação e saldo orçamentário</w:t>
            </w:r>
          </w:p>
        </w:tc>
        <w:tc>
          <w:tcPr>
            <w:tcW w:type="dxa" w:w="3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QF-01 e QF-06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PT-03</w:t>
            </w:r>
          </w:p>
        </w:tc>
        <w:tc>
          <w:tcPr>
            <w:tcW w:type="dxa" w:w="5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Contratação, justificativa do preço, exclusividade e transparência</w:t>
            </w:r>
          </w:p>
        </w:tc>
        <w:tc>
          <w:tcPr>
            <w:tcW w:type="dxa" w:w="3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QF-02, QF-05 e QF-09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PT-04</w:t>
            </w:r>
          </w:p>
        </w:tc>
        <w:tc>
          <w:tcPr>
            <w:tcW w:type="dxa" w:w="5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Empenho, execução física, liquidação, adiantamento, pagamento e banco</w:t>
            </w:r>
          </w:p>
        </w:tc>
        <w:tc>
          <w:tcPr>
            <w:tcW w:type="dxa" w:w="3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QF-02 e QF-05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PT-05</w:t>
            </w:r>
          </w:p>
        </w:tc>
        <w:tc>
          <w:tcPr>
            <w:tcW w:type="dxa" w:w="5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Capacidade financeira, materialidade por RCL/despesa, fonte e cronograma</w:t>
            </w:r>
          </w:p>
        </w:tc>
        <w:tc>
          <w:tcPr>
            <w:tcW w:type="dxa" w:w="3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QF-03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PT-06</w:t>
            </w:r>
          </w:p>
        </w:tc>
        <w:tc>
          <w:tcPr>
            <w:tcW w:type="dxa" w:w="5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Resultado, caixa, RP, série e cenário de nexo</w:t>
            </w:r>
          </w:p>
        </w:tc>
        <w:tc>
          <w:tcPr>
            <w:tcW w:type="dxa" w:w="3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QF-04 e QF-07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PT-07</w:t>
            </w:r>
          </w:p>
        </w:tc>
        <w:tc>
          <w:tcPr>
            <w:tcW w:type="dxa" w:w="5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Emergência, políticas essenciais, fontes e metas</w:t>
            </w:r>
          </w:p>
        </w:tc>
        <w:tc>
          <w:tcPr>
            <w:tcW w:type="dxa" w:w="3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QF-03 e QF-08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PT-08</w:t>
            </w:r>
          </w:p>
        </w:tc>
        <w:tc>
          <w:tcPr>
            <w:tcW w:type="dxa" w:w="5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Matriz de achados, respostas, limitações e revisão</w:t>
            </w:r>
          </w:p>
        </w:tc>
        <w:tc>
          <w:tcPr>
            <w:tcW w:type="dxa" w:w="3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QF-01 a QF-09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PT-09</w:t>
            </w:r>
          </w:p>
        </w:tc>
        <w:tc>
          <w:tcPr>
            <w:tcW w:type="dxa" w:w="5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Série histórica, notoriedade e valor de compromisso</w:t>
            </w:r>
          </w:p>
        </w:tc>
        <w:tc>
          <w:tcPr>
            <w:tcW w:type="dxa" w:w="3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Contratações artísticas 2026</w:t>
            </w:r>
          </w:p>
        </w:tc>
      </w:tr>
      <w:tr>
        <w:trPr>
          <w:cantSplit/>
        </w:trPr>
        <w:tc>
          <w:tcPr>
            <w:tcW w:type="dxa" w:w="1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PT-10</w:t>
            </w:r>
          </w:p>
        </w:tc>
        <w:tc>
          <w:tcPr>
            <w:tcW w:type="dxa" w:w="53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Custos diretos e teste de deslocamento de rubricas</w:t>
            </w:r>
          </w:p>
        </w:tc>
        <w:tc>
          <w:tcPr>
            <w:tcW w:type="dxa" w:w="30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Contratações artísticas 2026</w:t>
            </w:r>
          </w:p>
        </w:tc>
      </w:tr>
      <w:tr>
        <w:trPr>
          <w:cantSplit/>
        </w:trPr>
        <w:tc>
          <w:tcPr>
            <w:tcW w:type="dxa" w:w="1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PT-11</w:t>
            </w:r>
          </w:p>
        </w:tc>
        <w:tc>
          <w:tcPr>
            <w:tcW w:type="dxa" w:w="5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Checklist de adequação do valor do artista</w:t>
            </w:r>
          </w:p>
        </w:tc>
        <w:tc>
          <w:tcPr>
            <w:tcW w:type="dxa" w:w="30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Contratações artísticas 2026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Fluxo mínimo de execução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Delimitar ente, evento, período, exercício, unidade gestora, data de corte e regime jurídico de cada contratação.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Formar a população completa por palavras-chave, ações, fornecedores, processos, CNPJ/CPF e datas; congelar uma versão do universo.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Preservar a evidência com nome do arquivo, origem, data da extração, página/linha/registro e responsável pela coleta.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Reconciliar processos, SIGA/e-TCM, portal, PNCP, Painel Junino, Siconfi/MSC e bancos; não escolher uma base silenciosamente.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Executar testes por risco e materialidade; quantificar exceções e efeito sobre cada quesito.</w:t>
      </w:r>
    </w:p>
    <w:p>
      <w:pPr>
        <w:pStyle w:val="ListNumber"/>
        <w:keepNext w:val="0"/>
        <w:keepLines/>
        <w:numPr>
          <w:ilvl w:val="0"/>
          <w:numId w:val="16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Submeter achados a revisão e, quando cabível, contraditório; atualizar conclusão sem apagar a trilha anterior.</w:t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Rotas de acesso às informações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700"/>
        <w:gridCol w:w="4940"/>
        <w:gridCol w:w="2720"/>
      </w:tblGrid>
      <w:tr>
        <w:trPr>
          <w:cantSplit/>
          <w:tblHeader w:val="true"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Fonte</w:t>
            </w:r>
          </w:p>
        </w:tc>
        <w:tc>
          <w:tcPr>
            <w:tcW w:type="dxa" w:w="49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Passo a passo</w:t>
            </w:r>
          </w:p>
        </w:tc>
        <w:tc>
          <w:tcPr>
            <w:tcW w:type="dxa" w:w="27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Evidência a preservar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MSC de encerramento — SICONFI</w:t>
            </w:r>
          </w:p>
        </w:tc>
        <w:tc>
          <w:tcPr>
            <w:tcW w:type="dxa" w:w="49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Acessar SICONFI → Área Pública → Consultas → Consultar Matrizes/MSC; informar esfera municipal, UF, Município, exercício, periodicidade, período e tipo de balancete; validar CAPTCHA quando exibido; consultar e baixar o CSV/XBRL da matriz agregada correspondente ao encerramento.</w:t>
            </w:r>
          </w:p>
        </w:tc>
        <w:tc>
          <w:tcPr>
            <w:tcW w:type="dxa" w:w="27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Arquivo bruto; filtros; ente; exercício; período; tipo; versão; data/hora; URL e responsável.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RREO e RGF — SICONFI</w:t>
            </w:r>
          </w:p>
        </w:tc>
        <w:tc>
          <w:tcPr>
            <w:tcW w:type="dxa" w:w="49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Área Pública → Consultar Declarações; selecionar ente, Poder/órgão, exercício e período; abrir o RREO e o RGF aplicáveis; baixar XLS para recálculo e PDF para preservar a apresentação homologada.</w:t>
            </w:r>
          </w:p>
        </w:tc>
        <w:tc>
          <w:tcPr>
            <w:tcW w:type="dxa" w:w="272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Anexo, período, estado da declaração, retificação, arquivo XLS/PDF e data da coleta.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Contratos — PNCP</w:t>
            </w:r>
          </w:p>
        </w:tc>
        <w:tc>
          <w:tcPr>
            <w:tcW w:type="dxa" w:w="49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Acessar PNCP → Contratos; filtrar Bahia, Município/órgão e período; pesquisar artista, empresário, CPF/CNPJ, processo ou contrato; abrir e baixar registro e anexos.</w:t>
            </w:r>
          </w:p>
        </w:tc>
        <w:tc>
          <w:tcPr>
            <w:tcW w:type="dxa" w:w="27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URL do registro; filtros; contrato; anexos; data de publicação e data/hora da coleta.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Painel Junino — MPBA</w:t>
            </w:r>
          </w:p>
        </w:tc>
        <w:tc>
          <w:tcPr>
            <w:tcW w:type="dxa" w:w="49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Acessar Painel Junino → Transparentômetro dos Municípios; selecionar Município e localizar artista/evento/contratação; registrar valores, contratado e indicador; exportar ou preservar página.</w:t>
            </w:r>
          </w:p>
        </w:tc>
        <w:tc>
          <w:tcPr>
            <w:tcW w:type="dxa" w:w="272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Exportação/captura; URL; filtros; data/hora; divergências frente ao PNCP, portal e Tribunal de Contas.</w:t>
            </w:r>
          </w:p>
        </w:tc>
      </w:tr>
      <w:tr>
        <w:trPr>
          <w:cantSplit/>
        </w:trPr>
        <w:tc>
          <w:tcPr>
            <w:tcW w:type="dxa" w:w="17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e-TCM e SIGA</w:t>
            </w:r>
          </w:p>
        </w:tc>
        <w:tc>
          <w:tcPr>
            <w:tcW w:type="dxa" w:w="494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No e-TCM, usar a Consulta Pública por Município, exercício e processo/prestação. No SIGA, utilizar credencial institucional autorizada e filtrar ente, competência, credor, contrato, empenho e fonte.</w:t>
            </w:r>
          </w:p>
        </w:tc>
        <w:tc>
          <w:tcPr>
            <w:tcW w:type="dxa" w:w="272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Peças e exportações; filtros; versão; data/hora e responsável. Não afirmar consulta sem evidência preservada.</w:t>
            </w:r>
          </w:p>
        </w:tc>
      </w:tr>
      <w:tr>
        <w:trPr>
          <w:cantSplit/>
        </w:trPr>
        <w:tc>
          <w:tcPr>
            <w:tcW w:type="dxa" w:w="17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Portal municipal</w:t>
            </w:r>
          </w:p>
        </w:tc>
        <w:tc>
          <w:tcPr>
            <w:tcW w:type="dxa" w:w="494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Confirmar o domínio oficial; acessar Despesas, Licitações e Contratos; filtrar exercício, credor/CPF-CNPJ, contrato, processo, ação e fonte; baixar dados e documentos.</w:t>
            </w:r>
          </w:p>
        </w:tc>
        <w:tc>
          <w:tcPr>
            <w:tcW w:type="dxa" w:w="272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6"/>
              </w:rPr>
              <w:t>Arquivo bruto; paginação; total de registros; filtros; URL; data/hora e eventuais indisponibilidades.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Formação da população e amostragem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Regra preferencial: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Testar 100% das contratações artísticas, dos adiantamentos, das contratações diretas e das transações de maior risco. Para serviços acessórios numerosos, selecionar estratos que cubram a maior parcela monetária e incluir itens aleatórios e dirigidos por risco.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800"/>
        <w:gridCol w:w="3780"/>
        <w:gridCol w:w="3780"/>
      </w:tblGrid>
      <w:tr>
        <w:trPr>
          <w:cantSplit/>
          <w:tblHeader w:val="true"/>
        </w:trPr>
        <w:tc>
          <w:tcPr>
            <w:tcW w:type="dxa" w:w="1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Camada</w:t>
            </w:r>
          </w:p>
        </w:tc>
        <w:tc>
          <w:tcPr>
            <w:tcW w:type="dxa" w:w="3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Busca mínima</w:t>
            </w:r>
          </w:p>
        </w:tc>
        <w:tc>
          <w:tcPr>
            <w:tcW w:type="dxa" w:w="3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Teste de completude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Atrações</w:t>
            </w:r>
          </w:p>
        </w:tc>
        <w:tc>
          <w:tcPr>
            <w:tcW w:type="dxa" w:w="3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Artista, representante, CNPJ/CPF, contrato, data e nome do evento.</w:t>
            </w:r>
          </w:p>
        </w:tc>
        <w:tc>
          <w:tcPr>
            <w:tcW w:type="dxa" w:w="3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Painel/PNCP/portal × processo × empenho × banco.</w:t>
            </w:r>
          </w:p>
        </w:tc>
      </w:tr>
      <w:tr>
        <w:trPr>
          <w:cantSplit/>
        </w:trPr>
        <w:tc>
          <w:tcPr>
            <w:tcW w:type="dxa" w:w="1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Infraestrutura</w:t>
            </w:r>
          </w:p>
        </w:tc>
        <w:tc>
          <w:tcPr>
            <w:tcW w:type="dxa" w:w="37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Palco, som, luz, gerador, banheiro, gradil, segurança, limpeza e transporte.</w:t>
            </w:r>
          </w:p>
        </w:tc>
        <w:tc>
          <w:tcPr>
            <w:tcW w:type="dxa" w:w="37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Contratos e fornecedores × ação/fonte × notas e atestos.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Logística/acessórios</w:t>
            </w:r>
          </w:p>
        </w:tc>
        <w:tc>
          <w:tcPr>
            <w:tcW w:type="dxa" w:w="3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Hospedagem, alimentação, camarim, passagens, traslado e rider.</w:t>
            </w:r>
          </w:p>
        </w:tc>
        <w:tc>
          <w:tcPr>
            <w:tcW w:type="dxa" w:w="3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Verificar se já integra o cachê para evitar dupla contagem.</w:t>
            </w:r>
          </w:p>
        </w:tc>
      </w:tr>
      <w:tr>
        <w:trPr>
          <w:cantSplit/>
        </w:trPr>
        <w:tc>
          <w:tcPr>
            <w:tcW w:type="dxa" w:w="1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Comunicação</w:t>
            </w:r>
          </w:p>
        </w:tc>
        <w:tc>
          <w:tcPr>
            <w:tcW w:type="dxa" w:w="37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Publicidade, mídia, decoração, identidade visual e transmissão.</w:t>
            </w:r>
          </w:p>
        </w:tc>
        <w:tc>
          <w:tcPr>
            <w:tcW w:type="dxa" w:w="37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Processos × produtos entregues × divulgação do evento.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Receitas/apoios</w:t>
            </w:r>
          </w:p>
        </w:tc>
        <w:tc>
          <w:tcPr>
            <w:tcW w:type="dxa" w:w="3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Convênios, transferências, patrocínios e ingressos.</w:t>
            </w:r>
          </w:p>
        </w:tc>
        <w:tc>
          <w:tcPr>
            <w:tcW w:type="dxa" w:w="3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Instrumento × ingresso bancário × obrigação/contrapartida.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Hierarquia prática das evidências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00"/>
        <w:gridCol w:w="4600"/>
        <w:gridCol w:w="3860"/>
      </w:tblGrid>
      <w:tr>
        <w:trPr>
          <w:cantSplit/>
          <w:tblHeader w:val="true"/>
        </w:trPr>
        <w:tc>
          <w:tcPr>
            <w:tcW w:type="dxa" w:w="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Nível</w:t>
            </w:r>
          </w:p>
        </w:tc>
        <w:tc>
          <w:tcPr>
            <w:tcW w:type="dxa" w:w="46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Fonte</w:t>
            </w:r>
          </w:p>
        </w:tc>
        <w:tc>
          <w:tcPr>
            <w:tcW w:type="dxa" w:w="38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Uso</w:t>
            </w:r>
          </w:p>
        </w:tc>
      </w:tr>
      <w:tr>
        <w:trPr>
          <w:cantSplit/>
        </w:trPr>
        <w:tc>
          <w:tcPr>
            <w:tcW w:type="dxa" w:w="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1</w:t>
            </w:r>
          </w:p>
        </w:tc>
        <w:tc>
          <w:tcPr>
            <w:tcW w:type="dxa" w:w="46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Processo/contrato, nota/atesto, ordem, extrato e comprovante bancário.</w:t>
            </w:r>
          </w:p>
        </w:tc>
        <w:tc>
          <w:tcPr>
            <w:tcW w:type="dxa" w:w="38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pactuado, execução física, liquidação e desembolso.</w:t>
            </w:r>
          </w:p>
        </w:tc>
      </w:tr>
      <w:tr>
        <w:trPr>
          <w:cantSplit/>
        </w:trPr>
        <w:tc>
          <w:tcPr>
            <w:tcW w:type="dxa" w:w="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2</w:t>
            </w:r>
          </w:p>
        </w:tc>
        <w:tc>
          <w:tcPr>
            <w:tcW w:type="dxa" w:w="46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Consulta TCM/SIGA e PCMGE056.</w:t>
            </w:r>
          </w:p>
        </w:tc>
        <w:tc>
          <w:tcPr>
            <w:tcW w:type="dxa" w:w="38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 transacional; PCMGE056 é a população analítica preferencial de pagamentos. Validar a fase de coluna genérica 'valor'.</w:t>
            </w:r>
          </w:p>
        </w:tc>
      </w:tr>
      <w:tr>
        <w:trPr>
          <w:cantSplit/>
        </w:trPr>
        <w:tc>
          <w:tcPr>
            <w:tcW w:type="dxa" w:w="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3</w:t>
            </w:r>
          </w:p>
        </w:tc>
        <w:tc>
          <w:tcPr>
            <w:tcW w:type="dxa" w:w="46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PCMGE015, razão, balancete, MSC e demonstrativos homologados.</w:t>
            </w:r>
          </w:p>
        </w:tc>
        <w:tc>
          <w:tcPr>
            <w:tcW w:type="dxa" w:w="38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Controle contábil no mesmo estágio, ação, fonte, detalhamento e período; não somar à base transacional.</w:t>
            </w:r>
          </w:p>
        </w:tc>
      </w:tr>
      <w:tr>
        <w:trPr>
          <w:cantSplit/>
        </w:trPr>
        <w:tc>
          <w:tcPr>
            <w:tcW w:type="dxa" w:w="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4</w:t>
            </w:r>
          </w:p>
        </w:tc>
        <w:tc>
          <w:tcPr>
            <w:tcW w:type="dxa" w:w="46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PNCP, Diário Oficial, Portal da Transparência e Painel Junino.</w:t>
            </w:r>
          </w:p>
        </w:tc>
        <w:tc>
          <w:tcPr>
            <w:tcW w:type="dxa" w:w="38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Publicidade, triangulação e descoberta. O Painel contém declaração a confirmar; não comprova pagamento.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Case de validação da conciliação — Jequié/BA 2026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100"/>
        <w:gridCol w:w="2500"/>
        <w:gridCol w:w="2300"/>
        <w:gridCol w:w="2460"/>
      </w:tblGrid>
      <w:tr>
        <w:trPr>
          <w:cantSplit/>
          <w:tblHeader w:val="true"/>
        </w:trPr>
        <w:tc>
          <w:tcPr>
            <w:tcW w:type="dxa" w:w="21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Recorte</w:t>
            </w:r>
          </w:p>
        </w:tc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Base transacional</w:t>
            </w:r>
          </w:p>
        </w:tc>
        <w:tc>
          <w:tcPr>
            <w:tcW w:type="dxa" w:w="2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PCMGE015</w:t>
            </w:r>
          </w:p>
        </w:tc>
        <w:tc>
          <w:tcPr>
            <w:tcW w:type="dxa" w:w="2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Leitura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3.3.90.39.94 até junho</w:t>
            </w:r>
          </w:p>
        </w:tc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R$ 4.040.000,00 · 31 registros</w:t>
            </w:r>
          </w:p>
        </w:tc>
        <w:tc>
          <w:tcPr>
            <w:tcW w:type="dxa" w:w="2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R$ 5.327.000,00</w:t>
            </w:r>
          </w:p>
        </w:tc>
        <w:tc>
          <w:tcPr>
            <w:tcW w:type="dxa" w:w="2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 preliminar de R$ 1.287.000,00.</w:t>
            </w:r>
          </w:p>
        </w:tc>
      </w:tr>
      <w:tr>
        <w:trPr>
          <w:cantSplit/>
        </w:trPr>
        <w:tc>
          <w:tcPr>
            <w:tcW w:type="dxa" w:w="21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3.3.90.39.94 somente junho</w:t>
            </w:r>
          </w:p>
        </w:tc>
        <w:tc>
          <w:tcPr>
            <w:tcW w:type="dxa" w:w="25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R$ 3.719.000,00 · 26 registros</w:t>
            </w:r>
          </w:p>
        </w:tc>
        <w:tc>
          <w:tcPr>
            <w:tcW w:type="dxa" w:w="23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R$ 4.357.000,00</w:t>
            </w:r>
          </w:p>
        </w:tc>
        <w:tc>
          <w:tcPr>
            <w:tcW w:type="dxa" w:w="24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 preliminar de R$ 638.000,00.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3.3.90.39.99 até junho</w:t>
            </w:r>
          </w:p>
        </w:tc>
        <w:tc>
          <w:tcPr>
            <w:tcW w:type="dxa" w:w="25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R$ 52.426.676,73 · Município inteiro</w:t>
            </w:r>
          </w:p>
        </w:tc>
        <w:tc>
          <w:tcPr>
            <w:tcW w:type="dxa" w:w="23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R$ 3.172.067,88 · ação do evento</w:t>
            </w:r>
          </w:p>
        </w:tc>
        <w:tc>
          <w:tcPr>
            <w:tcW w:type="dxa" w:w="24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Bases não equivalentes; o 99 exige vínculo documental.</w:t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 metodológica: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A diferença exige conciliar estágio, data de corte, ação, fonte, anulações e retificações. Não constitui, isoladamente, irregularidade ou dano. O 3.3.90.39.94 é a busca principal; o 99 só entra por contrato, processo, CPF/CNPJ, credor, objeto ou ação.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Aplicação temporal das normas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200"/>
        <w:gridCol w:w="7160"/>
      </w:tblGrid>
      <w:tr>
        <w:trPr>
          <w:cantSplit/>
          <w:tblHeader w:val="true"/>
        </w:trPr>
        <w:tc>
          <w:tcPr>
            <w:tcW w:type="dxa" w:w="22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Situação</w:t>
            </w:r>
          </w:p>
        </w:tc>
        <w:tc>
          <w:tcPr>
            <w:tcW w:type="dxa" w:w="71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Regra metodológica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Fato de 2022</w:t>
            </w:r>
          </w:p>
        </w:tc>
        <w:tc>
          <w:tcPr>
            <w:tcW w:type="dxa" w:w="71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Identificar a opção expressa pelo regime. Aplicar Lei nº 8.666/1993 + Instrução TCM nº 02/2005/01/2017 ou Lei nº 14.133/2021, sem combinação. Usar MDF válido em 2022.</w:t>
            </w:r>
          </w:p>
        </w:tc>
      </w:tr>
      <w:tr>
        <w:trPr>
          <w:cantSplit/>
        </w:trPr>
        <w:tc>
          <w:tcPr>
            <w:tcW w:type="dxa" w:w="22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Fato posterior à transição</w:t>
            </w:r>
          </w:p>
        </w:tc>
        <w:tc>
          <w:tcPr>
            <w:tcW w:type="dxa" w:w="71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Aplicar Lei nº 14.133/2021 e regulamentação local vigente, além das normas contábeis/fiscais do exercício.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Festejos de 2026</w:t>
            </w:r>
          </w:p>
        </w:tc>
        <w:tc>
          <w:tcPr>
            <w:tcW w:type="dxa" w:w="71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Aplicar, como orientação preventiva, as Notas Técnicas Conjuntas nº 01/2026 e nº 02/2026 nos respectivos objetos, sem converter faixa de atenção ou compromisso voluntário em teto/chancela.</w:t>
            </w:r>
          </w:p>
        </w:tc>
      </w:tr>
      <w:tr>
        <w:trPr>
          <w:cantSplit/>
        </w:trPr>
        <w:tc>
          <w:tcPr>
            <w:tcW w:type="dxa" w:w="22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Norma posterior</w:t>
            </w:r>
          </w:p>
        </w:tc>
        <w:tc>
          <w:tcPr>
            <w:tcW w:type="dxa" w:w="71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Não usar como critério retroativo de irregularidade. Se útil, apresentá-la apenas como referência analítica, com ressalva explícita.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entury Gothic" w:hAnsi="Century Gothic"/>
          <w:sz w:val="32"/>
        </w:rPr>
        <w:t>Protocolo de aderência ao prompt vigente</w:t>
      </w:r>
    </w:p>
    <w:p>
      <w:pPr/>
      <w:r>
        <w:rPr>
          <w:rFonts w:ascii="Century Gothic" w:hAnsi="Century Gothic"/>
          <w:sz w:val="20"/>
        </w:rPr>
        <w:t>A análise deve produzir onze saídas rastreáveis e oito validações obrigatórias. O papel de trabalho contém a aba 12_Controle_Prompt para registrar responsável, evidência e status.</w:t>
      </w:r>
    </w:p>
    <w:p>
      <w:pPr>
        <w:pStyle w:val="ListBullet"/>
      </w:pPr>
      <w:r>
        <w:rPr>
          <w:rFonts w:ascii="Century Gothic" w:hAnsi="Century Gothic"/>
          <w:sz w:val="20"/>
        </w:rPr>
        <w:t>Saídas A–C: identificação completa do recorte; população consolidada sem duplicidade; conciliação Painel Junino × contrato × execução, com fases em colunas distintas.</w:t>
      </w:r>
    </w:p>
    <w:p>
      <w:pPr>
        <w:pStyle w:val="ListBullet"/>
      </w:pPr>
      <w:r>
        <w:rPr>
          <w:rFonts w:ascii="Century Gothic" w:hAnsi="Century Gothic"/>
          <w:sz w:val="20"/>
        </w:rPr>
        <w:t>Saídas D–F: teste dos detalhamentos 94/99; controle pelo PCMGE015 no mesmo estágio e período; conciliação do pagamento com PCMGE056, ordem de pagamento e banco.</w:t>
      </w:r>
    </w:p>
    <w:p>
      <w:pPr>
        <w:pStyle w:val="ListBullet"/>
      </w:pPr>
      <w:r>
        <w:rPr>
          <w:rFonts w:ascii="Century Gothic" w:hAnsi="Century Gothic"/>
          <w:sz w:val="20"/>
        </w:rPr>
        <w:t>Saídas G–H: disponibilidade da dotação na data e disponibilidade mensal de caixa por fonte pelo mapeamento do Anexo 5.</w:t>
      </w:r>
    </w:p>
    <w:p>
      <w:pPr>
        <w:pStyle w:val="ListBullet"/>
      </w:pPr>
      <w:r>
        <w:rPr>
          <w:rFonts w:ascii="Century Gothic" w:hAnsi="Century Gothic"/>
          <w:sz w:val="20"/>
        </w:rPr>
        <w:t>Saídas I–K: matriz de divergências/diligências; respostas individualizadas aos nove quesitos; síntese conclusiva e checklist de qualidade.</w:t>
      </w:r>
    </w:p>
    <w:p>
      <w:pPr>
        <w:pStyle w:val="ListBullet"/>
      </w:pPr>
      <w:r>
        <w:rPr>
          <w:rFonts w:ascii="Century Gothic" w:hAnsi="Century Gothic"/>
          <w:sz w:val="20"/>
        </w:rPr>
        <w:t>Validações 1–4: não somar fases; calcular empenho líquido; não duplicar pagamento; provar a semântica de coluna genérica ‘valor’.</w:t>
      </w:r>
    </w:p>
    <w:p>
      <w:pPr>
        <w:pStyle w:val="ListBullet"/>
      </w:pPr>
      <w:r>
        <w:rPr>
          <w:rFonts w:ascii="Century Gothic" w:hAnsi="Century Gothic"/>
          <w:sz w:val="20"/>
        </w:rPr>
        <w:t>Validações 5–8: revisar vínculos automáticos; observar a hierarquia das fontes; separar estimativa mensal do fechamento; aplicar as contas especiais da coluna (e).</w:t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Prompt mestre de análise</w:t>
      </w:r>
    </w:p>
    <w:p>
      <w:pPr>
        <w:keepNext w:val="0"/>
        <w:spacing w:before="0" w:after="16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5F6B66"/>
          <w:sz w:val="20"/>
        </w:rPr>
        <w:t>Utilize este bloco em conjunto com o complemento de cada quesito. Substitua os campos entre colchetes e forneça os documentos/exportações correspondentes.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Atue como contador/auditor governamental especializado em controle de gastos municipais com festejos públicos na Bahia. Analise o Município [MUNICÍPIO], evento [EVENTO], exercício [ANO], período [PERÍODO] e data de corte [DATA].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REGRAS DE EVIDÊNCIA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Trabalhe somente com documentos e exportações efetivamente disponibilizados. Não afirme acesso direto a SIGA, e-TCM, Siconfi, Siconfi.IA, PNCP, Portal da Transparência, Painel Junino ou bancos se o respectivo arquivo/consulta não estiver anexado.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Para cada fato, indique arquivo, página/linha/registro, competência, data de extração e base consultada. Não invente valores, documentos, versões ou justificativas.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Diferencie: critério legal; orientação técnica; indicador de materialidade; fato comprovado; indício; limitação; diligência; questão fora do escopo contábil.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A ausência de documento é limitação ou possível descumprimento documental, conforme o critério; não é prova automática de inexistência do ato.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Não conclua irregularidade apenas por percentual elevado, existência de emergência, piora posterior de indicador ou divergência entre sistemas. Reconcilie e teste nexo.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Separe contratado, empenho bruto, anulações, empenho líquido, liquidado e pago; nunca some fases. Empenho líquido = empenho bruto - anulações; saldo a liquidar = empenho líquido - liquidado; saldo a pagar = liquidado - pago.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Use o processo para o contrato, o Painel para a declaração, Consulta/SIGA para transações, PCMGE056 para pagamentos e PCMGE015 como controle do mesmo estágio/período. Se houver apenas a coluna 'valor', valide sua semântica.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Pesquise 3.3.90.39.94 como referência principal; inclua 3.3.90.39.99 apenas com vínculo documental ao evento.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- Identifique o regime jurídico vigente e escolhido na data do fato. Não aplique orientação de 2026 retroativamente a 2022 como critério de legalidade.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SAÍDA OBRIGATÓRIA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Resposta direta: atendido, parcialmente atendido, não atendido ou inconclusivo.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Escopo e população: universo, valor, quantidade e cobertura dos testes.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Critérios aplicados, com vigência.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Matriz de evidências: fonte/documento, localizador, valor, data e teste suportado.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Procedimentos executados e memórias de cálculo reproduzíveis.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Divergências e explicações validadas ou pendentes.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7. Achados: critério, condição, causa provável, efeito/risco, valor e evidência.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8. Limitações e diligências específicas, indicando qual teste o documento faltante permitirá concluir.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9. Minuta de resposta ao quesito em linguagem técnica, objetiva e sem atribuição de responsabilidade pessoal.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Antes de concluir, confira se todos os totais da minuta coincidem com as memórias e se a conclusão não é mais categórica que a evidência.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QF-01 / QF-06 · Autorização e suficiência orçamentária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Há previsão adequada na LOA ou crédito adicional regular e suficiente para custear o evento?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Analisar conjuntamente, mas responder separadamente aos dois quesitos. Substituir a exigência automática de ação na função Cultura por teste de compatibilidade da classificação efetivamente utilizada.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Comprovar que cada obrigação foi precedida de autorização orçamentária válida, classificação compatível, fonte apta e saldo suficiente.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Despesa sem crédito; crédito posterior; uso de ação incompatível; fonte vinculada indevida; excesso sobre dotação; crédito sem fonte de abertura ou publicação; classificação destinada a ocultar o evento.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Lei nº 4.320/1964, arts. 40 a 46 e 58 a 60; LOA, QDD, LDO e atos municipais; Portaria MOG nº 42/1999; classificação orçamentária vigente no exercício.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LOA/QDD; histórico da dotação; leis/decretos de créditos; indicação e comprovação da fonte do crédito; publicações; reservas; empenhos; razão orçamentário; exportação SIGA/e-TCM.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Dotação nominalmente genérica pode abranger o evento se houver compatibilidade material e documental. Se não existir dotação, o instrumento adequado tende a ser crédito especial; se existir e for insuficiente, suplementar. Decreto de emergência não transforma festa ordinária em hipótese automática de crédito extraordinário.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Identificar, em cada empenho, órgão, unidade, função, subfunção, programa, ação, natureza, fonte/destinação e detalhamento da fonte.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Pesquisar o objeto em todo o orçamento, não apenas na função Cultura: usar nome do evento, fornecedores e palavras-chave para detectar classificação alternativa ou indevida.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se o objeto do evento é materialmente compatível com a ação e com a natureza da despesa. A combinação Função 13/Subfunção 392 é comum, mas não deve ser imposta sem análise do programa municipal.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Reconstituir, por data, dotação inicial, créditos, anulações, bloqueios/reservas e empenhos acumulados. O teste deve refletir o saldo existente antes do empenho relacionado ao contrato.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cada crédito adicional, conferir espécie, autorização legislativa, ato de abertura, fonte do art. 43 da Lei nº 4.320/1964, vigência, publicação e registro contábil.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Confrontar o valor contratado e seu cronograma com o empenho inicial e eventuais reforços, evitando validar empenho meramente simbólico quando a obrigação já era determinável.</w:t>
      </w:r>
    </w:p>
    <w:p>
      <w:pPr>
        <w:pStyle w:val="ListNumber"/>
        <w:keepNext w:val="0"/>
        <w:keepLines/>
        <w:numPr>
          <w:ilvl w:val="0"/>
          <w:numId w:val="17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Conciliar os totais do QDD/razão com os dados remetidos ao SIGA/e-TCM e registrar divergências por versão e data de extração.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Dotação atualizada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Dotação inicial + créditos adicionais válidos - anulações. Demonstrar a linha do tempo, não apenas o saldo final.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Saldo pré-empenho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Dotação atualizada até a data - empenhos anteriores - bloqueios/reservas válidos.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Cobertura orçamentária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Saldo pré-empenho ÷ obrigação a empenhar. Resultado abaixo de 1 exige análise de insuficiência ou reforço válido anterior ao gasto.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Conciliação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Dotação atualizada - empenhado = saldo contábil esperado; explicar cancelamentos, reforços e diferenças entre bases.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Informar a dotação e a fonte efetivamente usadas, o saldo disponível na data crítica, os créditos que a alteraram e as exceções. Classificar como atendido, parcialmente atendido, não atendido ou inconclusivo. Não concluir irregularidade apenas porque a LOA não nomeia expressamente os festejos.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Execute o eixo de autorização orçamentária para o evento [EVENTO], exercício [ANO].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Relacione cada contrato/empenho à classificação orçamentária completa e à fonte.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Reconstitua a dotação na data do empenho: inicial + créditos válidos - anulações - empenhos/bloqueios anteriores.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Verifique espécie, autorização, fonte, data e publicação de cada crédito adicional.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Teste compatibilidade material entre objeto, ação, natureza e fonte, sem presumir que somente Função 13/Subfunção 392 é aceitável.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Entregue linha do tempo, memória de cálculo, divergências entre LOA/QDD/SIGA-e-TCM e resposta separada aos QF-01 e QF-06.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QF-02 · Regularidade da execução orçamentária e financeira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Há regularidade na execução orçamentária e financeira dos gastos realizados com os festejos juninos?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e ampliar. O teste não pode se limitar a empenho, liquidação e pagamento: deve abranger contratação, execução física, adiantamentos, retenções, beneficiário e ordem cronológica.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Testar, por transação, a legalidade e a rastreabilidade do ciclo contratação → empenho → execução/atesto → liquidação → pagamento → banco.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Empenho posterior; liquidação sem serviço; pagamento a terceiro; pagamento antecipado sem justificativa; quebra da ordem; ausência de retenções; duplicidade; objeto divergente; inexigibilidade usada para serviços acessórios.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Lei nº 4.320/1964, arts. 58 a 65; regime de contratação escolhido; Lei nº 14.133/2021, quando aplicável; Instrução TCM-BA nº 02/2005 com alterações de 2017 para processos históricos sob a Lei nº 8.666/1993; contrato e normas tributárias aplicáveis.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Processo integral; autorização; parecer; contrato; publicação; empenho; nota fiscal; atesto/relatório do fiscal; prova da apresentação/entrega; liquidação; ordem de pagamento; extrato; comprovante bancário; retenções; lista cronológica por fonte e categoria.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mera existência de número de empenho ou nota fiscal não prova a entrega. Adiantamento não deve ser tratado como despesa regularmente liquidada antes da contraprestação; exige fundamento, previsão, registro como direito/antecipação e posterior prestação de contas.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Consolidar a população por contrato, fornecedor, CNPJ/CPF, objeto, valor, data da apresentação, fonte e processo; identificar duplicidades e vínculos entre fornecedores.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o regime licitatório expressamente escolhido. Em 2022, não combinar exigências da Lei nº 8.666/1993 com as da Lei nº 14.133/2021 no mesmo processo.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artistas, testar escolha, consagração, representação exclusiva, justificativa do preço e publicação. Para palco, som, iluminação, hospedagem, transporte e outros serviços, testar a modalidade própria; a inexigibilidade do artista não se estende automaticamente a esses objetos.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Ordenar as datas de solicitação, autorização, contratação, empenho, apresentação/entrega, atesto, liquidação e pagamento. Marcar inversões e explicar retificações.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Reexecutar a liquidação: objeto, quantidade, período, documento fiscal, atesto competente e evidência independente da apresentação ou serviço.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Rastrear o pagamento até a conta do contratado e conferir valor líquido, retenções, glosas, cessões e eventual pagamento a pessoa diversa.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Testar a ordem cronológica dentro da fonte e categoria aplicáveis, documentando as obrigações vencidas e eventual justificativa formal de alteração.</w:t>
      </w:r>
    </w:p>
    <w:p>
      <w:pPr>
        <w:pStyle w:val="ListNumber"/>
        <w:keepNext w:val="0"/>
        <w:keepLines/>
        <w:numPr>
          <w:ilvl w:val="0"/>
          <w:numId w:val="18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Separar antecipações: verificar previsão contratual, justificativa de economicidade/indispensabilidade, garantia quando exigida, registro patrimonial e baixa somente após regular liquidação.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Conciliação contratual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Contratado + aditivos - supressões = valor contratual vigente; comparar com empenhado, liquidado e pago.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Saldo a liquidar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Empenhado - liquidado. Investigar saldo após a data do evento e cancelamentos.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Saldo a pagar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Liquidado - pago. Conciliar com obrigação, RP processado e extrato.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Adiantamento pendente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antecipado - valor comprovado/liquidado - devolução. Saldo positivo exige prestação de contas ou recuperação.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Exceções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Quantidade e valor das transações com inversão temporal, suporte insuficiente, duplicidade ou pagamento divergente.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Responder por população e por exceção, indicando valor e percentual testados. A ausência de documento deve ser registrada como limitação e diligência, salvo quando a própria falta configurar descumprimento documental do critério aplicável.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Execute o teste integral de execução das despesas do evento [EVENTO].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Identifique o regime legal escolhido em cada processo.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Monte a linha do tempo contratação, empenho, apresentação/entrega, atesto, liquidação, pagamento e débito bancário.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Teste os requisitos da contratação do artista e, separadamente, dos serviços acessórios.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Reexecute a liquidação e rastreie o beneficiário final, retenções e ordem cronológica por fonte/categoria.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Trate pagamentos antecipados em quadro próprio, com justificativa, previsão, registro patrimonial, prestação de contas e saldo.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Quantifique todas as exceções e indique documento/página/registro que sustenta cada conclusão.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QF-03 · Capacidade financeira no contexto de emergência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O montante gasto é compatível com a capacidade financeira do Município, considerando o decreto de emergência vigente?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com reformulação. Substituir a comparação simples 'caixa bruto × gasto projetado' por capacidade de pagamento por fonte, cronograma e obrigações concorrentes.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Determinar se recursos legalmente utilizáveis e temporalmente disponíveis eram suficientes para o evento sem comprometer obrigações exigíveis e serviços prioritários.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Uso de caixa vinculado; superestimação de convênios/receitas futuras; desconsideração de RP e obrigações; comparação com caixa bruto; pagamento incompatível com fluxo; emergência materialmente desassistida.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LRF, especialmente planejamento, transparência e vinculação de recursos; MDF aplicável; Nota Técnica Conjunta nº 01/2026 para contratações de 2026; decreto e plano de resposta; instrumentos de transferências; regras de cada fonte.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Decreto e reconhecimento; plano/ações de emergência; extratos e conciliações por fonte; MSC e razão; RP; despesas liquidadas a pagar; folha e encargos; cronograma do evento; convênios e ingressos; RREO/RGF; manifestação do controle interno.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vigência de emergência não torna todo festejo automaticamente ilegal. Entretanto, eleva o risco e o ônus de justificar capacidade e prioridade. Caixa bruto e disponibilidade apurada ao final do exercício não respondem, isoladamente, à capacidade na data da contratação.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Validar natureza, território, vigência e reconhecimento do decreto; verificar se a situação alcança o período da contratação e quais obrigações públicas dela decorrem.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Apurar o custo total bruto do evento e o custo suportado por recursos próprios, distinguindo cachês, acessórios, infraestrutura e demais objetos.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cada fonte pagadora e classificar sua vinculação. Excluir do teste de cobertura valores que não possam legalmente financiar o evento.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/>
          <w:sz w:val="20"/>
        </w:rPr>
        <w:t>Reconstituir, em cada competência mensal relevante — inclusive mês anterior à contratação, meses de pagamentos materiais e encerramento — a disponibilidade de caixa por fonte, usando Ending_Balance, filtro do Poder Executivo/PO iniciado por 10 e as contas do mapeamento do RGF Anexo 5.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/>
          <w:sz w:val="20"/>
        </w:rPr>
        <w:t>Identificar a natureza do resultado: ‘estimativa gerencial mensal’ para competências 01 a 11 e ‘fechamento — Anexo 5’ para mês 12/período 13. A série mensal deve ser conciliada ao fechamento, sem ser apresentada como RGF oficial nos meses intermediários.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Incluir no fluxo RP processados, despesas liquidadas a pagar, demais obrigações vencidas e vincendas no horizonte, além dos compromissos essenciais e do cronograma do evento.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Considerar convênios, patrocínios e transferências apenas quando houver instrumento, fonte, ingresso ou cronograma confiável; receitas turísticas estimadas não reduzem o custo sem realização comprovada.</w:t>
      </w:r>
    </w:p>
    <w:p>
      <w:pPr>
        <w:pStyle w:val="ListNumber"/>
        <w:keepNext w:val="0"/>
        <w:keepLines/>
        <w:numPr>
          <w:ilvl w:val="0"/>
          <w:numId w:val="19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Testar cenários de 30, 60 e 90 dias após cada desembolso material, documentando saldo residual e obrigações não cobertas.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Disponibilidade por fonte — (a) a (i)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(g) = (a) − (b) − (c) − (d) − (e) − (f); (i) = (g) − (h). Usar Ending_Balance e preservar o sinal por fonte.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Contas especiais em (e)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Além das contas-base, incluir 8.6.3.2.1.00.00 nas FR 501/502/503 e 2.1.8.8.0.00.00 + 2.2.8.8.0.00.00 nas FR 860/861/862/869, conforme o mapeamento fornecido.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Margem no mesmo estágio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Disponibilidade (i) − gasto do evento na fonte, escolhendo uma única base: contratado, empenho líquido, liquidado ou pago. Não somar etapas.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Cobertura e horizonte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Disponibilidade (i) ÷ gasto no mesmo estágio e fonte; complementar com cronograma de 30, 60 e 90 dias e obrigações essenciais.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Materialidade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Custo total/RCL e custo próprio/RCL, com mesma competência. São indicadores, não limites legais.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Apresentar capacidade por fonte e por vencimento, além do contexto da emergência. Concluir compatibilidade somente se a fonte for apta, o fluxo cobrir o evento e as demais obrigações e não houver evidência de desassistência relacionada. Percentuais e o patamar de atenção de 2026 não são tetos automáticos.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Avalie a capacidade financeira para o evento [EVENTO] na data [DATA].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Valide o decreto de emergência, sua vigência, abrangência e plano de resposta.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Separe custo bruto, recursos próprios e valores externos efetivamente comprovados.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Por fonte, reconcilie ativos financeiros, RP processados, despesas liquidadas a pagar e demais obrigações no mês anterior e nas datas de desembolso.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Exclua recursos vinculados incompatíveis e não use receita futura sem instrumento/cronograma confiável.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Calcule cobertura e saldo residual em 30, 60 e 90 dias.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Declare que a apuração mensal é indicador gerencial inspirado no Anexo 5, não o RGF oficial.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7. Responda com premissas, memória, cenários, limitações e diligências.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QF-04 · Comprometimento da saúde financeira e nexo causal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Há indícios de comprometimento da saúde financeira municipal em razão dos gastos com os festejos juninos?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Manter, mas substituir o teste de um único mês por série temporal e cenário contrafactual. Não usar coincidência temporal como prova de causalidade.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Identificar deterioração fiscal relevante e estimar a contribuição máxima do evento, controlando outros fatores contemporâneos.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Atribuição indevida de causalidade; mistura de caixa bruto e líquido; comparação de competências diferentes; omissão de queda de receita, folha, dívida ou outros eventos; conclusão com base em um único indicador.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LRF; Lei nº 4.320/1964; MDF e MCASP aplicáveis; documentos fiscais do Município; metodologia de análise causal explicitada no papel de trabalho.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Série mensal/trimestral de receita, despesa, caixa por fonte, RP, obrigações vencidas, folha, encargos e transferências; pagamentos do evento; RREO/RGF; balanços; fatos fiscais concorrentes.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Correlação e proximidade temporal não provam nexo. O evento pode ser material, contribuir, não contribuir de modo relevante ou não ser isolável. A conclusão deve refletir esse grau de evidência.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Definir janela homogênea: preferencialmente três meses antes, período do evento e três meses depois, complementada pelo fechamento anual.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Recalcular resultado orçamentário acumulado, caixa utilizável, obrigações e RP com mesma base, fonte e competência.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Segregar o efeito orçamentário (despesa empenhada), patrimonial quando pertinente e financeiro (pagamentos efetivos), evitando dupla contagem.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Construir cenário de adição de volta: resultado e caixa observados sem as despesas/pagamentos do evento, como estimativa do efeito contábil máximo.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fatores concorrentes: frustração de receita, aumento de pessoal, precatórios, dívida, desastres, obras, transferências atrasadas e passivos antigos.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sinais concretos: atraso de folha/encargos/fornecedores, cancelamento de serviços, insuficiência por fonte, RP do evento, déficit persistente e descumprimentos fiscais.</w:t>
      </w:r>
    </w:p>
    <w:p>
      <w:pPr>
        <w:pStyle w:val="ListNumber"/>
        <w:keepNext w:val="0"/>
        <w:keepLines/>
        <w:numPr>
          <w:ilvl w:val="0"/>
          <w:numId w:val="20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Documentar se o cenário sem evento altera ou não a conclusão fiscal e se a cronologia sustenta relação plausível.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Resultado orçamentário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Receita realizada - despesa empenhada, conforme metodologia do exercício. Demonstrar acumulado e fechamento.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Cenário sem evento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Resultado observado + despesas do evento incluídas no indicador. É estimativa máxima, não prova causal isolada.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Caixa sem evento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Caixa livre observado + pagamentos do evento efetuados com fonte livre, preservadas demais movimentações.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RP do evento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Empenhos do evento não pagos no encerramento, separados entre processados e não processados.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Variações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Pós - pré para cada indicador, com explicação dos demais fatores materiais.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Usar uma das formulações: evidência de contribuição material; indício que exige aprofundamento; ausência de contribuição material identificável; ou nexo inconclusivo. Evitar a expressão 'em razão' se a análise apenas demonstrar piora contemporânea.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Analise se os gastos do evento [EVENTO] contribuíram para comprometimento fiscal.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Construa série homogênea de três meses antes a três meses depois e o fechamento anual.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Separe efeito orçamentário (empenhado), financeiro (pago) e RP do evento.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Recalcule resultado, caixa por fonte, obrigações, RP e atrasos.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Faça cenário de adição de volta das despesas/pagamentos do evento e declare que se trata do efeito contábil máximo.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Identifique e quantifique fatores concorrentes.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Classifique o nexo como evidência material, indício, ausência de efeito relevante ou inconclusivo, citando a trilha documental.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QF-05 · Reexecução do ciclo da despesa — festa de emancipação de 2022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As despesas da festa de emancipação de 2022 foram devidamente contratadas, empenhadas, liquidadas e pagas?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e integrar ao PT de execução, com recorte temporal próprio. Acrescentar teste do regime legal escolhido em 2022 e tratamento contábil dos adiantamentos.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Identificar a população completa de despesas do evento de 2022 e reexecutar o ciclo de cada transação com base nos autos e sistemas.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População incompleta; despesa registrada fora da ação do evento; processo não localizado; aplicação retroativa de norma de 2026; mistura dos regimes de licitação; antecipação liquidada indevidamente; divergência entre balanço, SIGA/e-TCM e banco.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Lei nº 4.320/1964; regime licitatório expressamente escolhido em 2022; Lei nº 8.666/1993 e Instrução TCM-BA nº 02/2005/01/2017 ou Lei nº 14.133/2021, conforme o processo; contratos e normas vigentes à época.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Balanço anual; razão; contratos; processos; empenhos; liquidações; notas; atestos; pagamentos; extratos; publicações; SIGA/e-TCM; portal; parecer e relatório anual do TCM-BA.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 Nota Técnica de 2026 não é critério retroativo de legalidade para 2022. Pode ser citada apenas como referência analítica claramente identificada, sem converter orientação posterior em obrigação pretérita.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Descobrir a população por três caminhos: palavras-chave do evento, fornecedores/processos conhecidos e varredura das ações/fontes usadas, incluindo despesas registradas antes e depois da data festiva.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Confrontar Painel/portal, SIGA/e-TCM, balanço/razão e processos. O Painel de atrações não substitui a população total de infraestrutura e serviços acessórios.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Identificar, em cada processo, a opção pela Lei nº 8.666/1993 ou Lei nº 14.133/2021 e aplicar apenas o regime eleito.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Reexecutar sequência e suficiência de empenho, entrega/apresentação, atesto, liquidação, ordem de pagamento e débito bancário.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Reclassificar antecipações: verificar se permaneceram como direito até a apresentação, se foram prestadas contas e se houve baixa/devolução correta.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Conciliar totais por fornecedor e por estágio com o balanço, RP e extratos. Explicar cancelamentos, estornos, reforços e pagamentos no exercício seguinte.</w:t>
      </w:r>
    </w:p>
    <w:p>
      <w:pPr>
        <w:pStyle w:val="ListNumber"/>
        <w:keepNext w:val="0"/>
        <w:keepLines/>
        <w:numPr>
          <w:ilvl w:val="0"/>
          <w:numId w:val="21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Usar pareceres do TCM como evidência de controle, sem substituir a verificação das peças específicas dos autos.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Universo 2022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Soma por fornecedor e objeto, com eliminação de duplicidades e identificação de custos fora da ação principal.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Ciclo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Contratado vigente; empenhado; liquidado; pago; RP processado/não processado e cancelamentos.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Diferenças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Contratado - empenhado; empenhado - liquidado; liquidado - pago; extrato - pagamento contábil.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Antecipações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Antecipado - prestação comprovada - devoluções, com data de reconhecimento da despesa.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Emitir tabela por transação e síntese por estágio. Se a população não puder ser assegurada, declarar limitação de completude, ainda que as transações localizadas estejam corretas.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Reexecute as despesas da festa de emancipação de 2022.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Forme a população por palavras-chave, fornecedores e ações/fontes, incluindo despesas pré e pós-evento.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Identifique o regime licitatório escolhido em cada processo e não misture as Leis 8.666/1993 e 14.133/2021.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Para cada transação, confronte contrato, empenho, apresentação/entrega, atesto, liquidação, pagamento, banco e RP.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Trate antecipações separadamente conforme a norma aplicável à época.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Reconcilie balanço, razão, SIGA/e-TCM, portal e parecer do TCM.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Não aplique a Nota Técnica de 2026 como obrigação retroativa.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7. Entregue população, exceções, limitações e resposta objetiva.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QF-07 · Alteração dos indicadores fiscais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Houve alterações em resultado orçamentário, disponibilidade de caixa ou restos a pagar que indiquem comprometimento financeiro decorrente da despesa?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e integrar ao QF-04, preservando resposta autônoma. Ampliar o cálculo de caixa e distinguir o RGF oficial da reconstrução mensal.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Reproduzir os indicadores fiscais, medir variações e avaliar se o evento tem magnitude e cronologia compatíveis com eventual comprometimento.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Erro de fórmula; uso de fonte agregada; confusão entre disponibilidade de caixa e dívida consolidada líquida; mistura entre RP processado e não processado; atribuição causal não sustentada.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LRF; Lei nº 4.320/1964; MDF vigente no exercício; MCASP; demonstrativos e mapeamentos oficiais aplicáveis à competência.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RREO, RGF Anexo 5, MSC, balanços, razão, extratos, RP, obrigações financeiras, cronograma e pagamentos do evento, notas explicativas e versões retificadas.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Usar a sigla por extenso para evitar confusão: disponibilidade de caixa líquida não é dívida consolidada líquida. A MSC deve ser mapeada conforme o exercício e reconciliada com o demonstrativo homologado.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a edição do MDF e o mapeamento vigentes no exercício. Para 2022, usar o MDF válido em 2022; para 2026, usar a edição vigente no período analisado.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Recalcular o resultado orçamentário com base anual e, se possível, acumulada, mantendo a mesma metodologia em toda a série.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/>
          <w:sz w:val="20"/>
        </w:rPr>
        <w:t>Reexecutar o RGF Anexo 5 no encerramento e aplicar mensalmente o mesmo mapeamento ao Ending_Balance: (a) caixa bruta; (b) RP liquidados anteriores; (c) RP liquidados do exercício; (d) RPNP anteriores; (e) demais obrigações; (f) insuficiência de consórcio; (g) líquida antes de RPNP; (h) RPNP do exercício; e (i) líquida após RPNP.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Separar RP processados e não processados, do evento e gerais, e investigar cancelamentos ou inscrições atípicas.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Confrontar os indicadores antes e depois com as datas de empenho/pagamento do evento e com outros fatores relevantes.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Verificar versões homologadas e retificações; registrar divergências entre MSC, RGF/RREO, balanço e e-TCM.</w:t>
      </w:r>
    </w:p>
    <w:p>
      <w:pPr>
        <w:pStyle w:val="ListNumber"/>
        <w:keepNext w:val="0"/>
        <w:keepLines/>
        <w:numPr>
          <w:ilvl w:val="0"/>
          <w:numId w:val="22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Aplicar o cenário sem evento do QF-04 para estimar contribuição máxima, sem declarar causalidade automática.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Resultado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Receita realizada - despesa empenhada, ou fórmula oficial aplicável, com indicação do estágio.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Caixa líquida mensal/fechamento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entury Gothic" w:hAnsi="Century Gothic"/>
                <w:b w:val="0"/>
                <w:sz w:val="18"/>
              </w:rPr>
              <w:t>Ending_Balance por fonte; (g) = (a) − (b+c+d+e+f) e (i) = (g) − (h). Competências 01 a 11: estimativa gerencial; mês 12/período 13: fechamento a conciliar com o RGF.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Caixa líquida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Caixa bruta - obrigações financeiras definidas pelo MDF; demonstrar componentes e data-base.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Variação de RP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RP final - RP inicial, segregando processados/não processados e parcela do evento.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Cenário sem evento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Indicador observado ajustado pela parcela do evento correspondente ao mesmo estágio.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Dizer quais indicadores se alteraram, quanto, em que período e com quais limitações. Somente usar 'decorrente' quando a cronologia, a magnitude e a exclusão de fatores concorrentes forem suficientemente sustentadas.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Recalcule resultado orçamentário, disponibilidade de caixa e RP para [MUNICÍPIO/ANO].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Identifique MDF e mapeamento vigentes.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Reconcilie RREO/RGF, MSC, balanço, razão, extratos e e-TCM.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Separe fontes, RP processados/não processados e parcela do evento.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Diferencie o Anexo 5 oficial da reconstrução mensal gerencial.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Calcule variações e cenário sem evento no mesmo estágio contábil.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Registre retificações, fatores concorrentes e grau de evidência do nexo.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QF-08 · Emergência, políticas essenciais e oportunidade fiscal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A execução indica priorização indevida de despesas festivas em detrimento da estiagem ou de políticas públicas essenciais?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com delimitação de competência. O CEAT deve demonstrar fatos contábeis, disponibilidade, execução e obrigações; a qualificação final de 'priorização indevida' exige critério jurídico e, em parte, análise de mérito administrativo.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Comparar o evento com obrigações e ações prioritárias objetivamente previstas, considerando fontes legalmente intercambiáveis e resultados físicos documentados.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Comparar fontes vinculadas com livres; concluir por valores nominais sem metas; ignorar necessidades não documentadas; confundir baixa execução com falta de caixa; invadir juízo político; não testar obrigações vencidas.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PPA, LDO, LOA; plano de contingência/emergência; normas de defesa civil e políticas setoriais; vinculações; contratos e obrigações; LRF; critérios jurídicos definidos nos autos.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Decreto; plano de resposta; dotações e execução por programa/ação/fonte; metas físicas; relatórios da defesa civil; filas/demandas; folha e fornecedores; transferências; obras/serviços suspensos; atas e decisões administrativas.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Não comparar gasto festivo pago com recursos livres a orçamento de saúde ou educação financiado por fontes vinculadas sem demonstrar fungibilidade. Uma diferença de execução é ponto de partida, não prova de preterição.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Extrair do decreto, PPA, LDO, LOA e planos setoriais as ações, metas e obrigações objetivamente relacionadas à estiagem e aos serviços essenciais.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Apurar dotação, empenho, liquidação, pagamento e metas físicas por ação e fonte no mesmo período do evento e em período comparável.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Identificar obrigações vencidas, demandas formalizadas, descontinuidade de serviço, contingenciamento e falta de insumos com evidência documental.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Testar fungibilidade: verificar se a mesma fonte livre usada no evento poderia legalmente financiar a ação supostamente preterida e se havia autorização/programação disponível.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Analisar a cronologia das decisões, suplementações e remanejamentos, especialmente redução de ações emergenciais ou essenciais para reforçar o evento.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Comparar execução financeira e física, evitando concluir apenas com percentual de execução orçamentária.</w:t>
      </w:r>
    </w:p>
    <w:p>
      <w:pPr>
        <w:pStyle w:val="ListNumber"/>
        <w:keepNext w:val="0"/>
        <w:keepLines/>
        <w:numPr>
          <w:ilvl w:val="0"/>
          <w:numId w:val="23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Submeter a qualificação de prioridade indevida à revisão jurídico-institucional, apresentando ao procurador os fatos, valores e alternativas sustentadas.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Execução financeira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Empenhado, liquidado e pago ÷ dotação atualizada, por ação e fonte.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Variação comparável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Execução do período atual - execução do período anterior, com ajuste de escopo.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Deslocamento orçamentário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Anulações/reduções em ações essenciais destinadas ao evento, quando houver trilha documental.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Obrigações não cobertas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vencido/exigível da política essencial sem cobertura na mesma fonte livre.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Metas físicas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Realizado ÷ meta prevista, associado ao gasto e à evidência operacional.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O CEAT deve concluir sobre compatibilidade contábil e fiscal, existência de obrigações/demandas preteridas e uso de fontes. A expressão 'priorização indevida' deve ser reservada a situação com critério objetivo, vínculo causal e validação jurídica.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Avalie o possível deslocamento de prioridades entre o evento [EVENTO] e ações de estiagem/serviços essenciais.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Extraia prioridades, metas e obrigações do decreto, planos, PPA, LDO e LOA.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Compare dotação e execução financeira/física no mesmo período e por fonte.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Identifique obrigações vencidas, serviços interrompidos e demandas formalizadas.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Teste se a fonte usada no evento era legalmente fungível para a ação supostamente preterida.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Rastreie anulações, suplementações e remanejamentos.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Apresente fatos objetivos e indique o que depende de qualificação jurídica, sem emitir juízo político autônomo.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keepNext/>
        <w:spacing w:before="360" w:after="80" w:line="300" w:lineRule="auto"/>
        <w:jc w:val="left"/>
      </w:pPr>
      <w:r>
        <w:rPr>
          <w:rFonts w:ascii="Century Gothic" w:hAnsi="Century Gothic" w:eastAsia="Century Gothic"/>
          <w:b/>
          <w:i w:val="0"/>
          <w:color w:val="D8A928"/>
          <w:sz w:val="19"/>
        </w:rPr>
        <w:t>QF-09 · Síntese conclusiva e matriz de achados</w:t>
      </w:r>
    </w:p>
    <w:p>
      <w:pPr>
        <w:keepNext/>
        <w:spacing w:before="0" w:after="200" w:line="300" w:lineRule="auto"/>
        <w:jc w:val="left"/>
      </w:pPr>
      <w:r>
        <w:rPr>
          <w:rFonts w:ascii="Century Gothic" w:hAnsi="Century Gothic" w:eastAsia="Century Gothic"/>
          <w:b/>
          <w:i w:val="0"/>
          <w:color w:val="07513A"/>
          <w:sz w:val="29"/>
        </w:rPr>
        <w:t>Há coerência técnica entre valores pagos, dotações e parâmetros fiscais do exercício?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Tratamento recomendado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Manter como síntese, eliminando a repetição dos procedimentos anteriores. Deve consolidar, não refazer, os testes dos demais quesitos.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Objetivo de auditoria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Integrar evidências, cálculos e limitações em resposta curta, rastreável e proporcional ao grau de segurança obtido.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Riscos principais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Dupla contagem; conclusão além do escopo; uso de 'limite fiscal' inexistente; omissão de limitação; responsabilização sem contraditório; síntese incompatível com os papéis de trabalho.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Critérios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Critérios validados nos QF-01 a QF-09; normas vigentes no fato; política de qualidade e revisão; contraditório quando cabível.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Evidências mínimas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Papéis PT-01 a PT-08; matriz de conciliação; memórias; evidências-chave; matriz de achados; respostas do Município; revisão técnica.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Cautela de 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Não existe um limite geral único de gasto festivo/RCL. A síntese deve distinguir limite legal, faixa orientativa de atenção, indicador de materialidade e julgamento técnico do caso.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Procedimentos de auditoria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Congelar a população e reconciliar o total do evento entre contratos, empenhos, liquidações, pagamentos, banco, portal, PNCP, Painel e SIGA/e-TCM.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Consolidar cada quesito com resposta direta, critério, teste, resultado numérico, evidência, limitação e diligência.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Eliminar duplicidades entre QF-01/QF-06, QF-02/QF-05 e QF-04/QF-07, mantendo referências cruzadas e respostas autônomas.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Classificar cada ponto como fato comprovado, indício, limitação, divergência sanada, não conformidade ou questão fora do escopo contábil.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Para achados, registrar critério, condição, causa provável, efeito/risco, valor, evidência, responsáveis institucionais e manifestação/contraditório.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Revisar coerência entre números da síntese e memórias; impedir que a conclusão seja mais categórica que a evidência.</w:t>
      </w:r>
    </w:p>
    <w:p>
      <w:pPr>
        <w:pStyle w:val="ListNumber"/>
        <w:keepNext w:val="0"/>
        <w:keepLines/>
        <w:numPr>
          <w:ilvl w:val="0"/>
          <w:numId w:val="24"/>
        </w:numPr>
        <w:spacing w:before="0" w:after="120" w:line="312" w:lineRule="auto"/>
        <w:ind w:left="720" w:hanging="360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Registrar normas e bases consultadas, versão, data de extração, hash ou identificador do arquivo e revisor.</w:t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Cálculos e saídas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800"/>
        <w:gridCol w:w="6560"/>
      </w:tblGrid>
      <w:tr>
        <w:trPr>
          <w:cantSplit/>
          <w:tblHeader w:val="true"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Indicador/teste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Memória e interpretação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Conciliação global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Contratado, empenhado, liquidado, pago, RP e banco por fornecedor e no agregado.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Exceção material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Valor das exceções ÷ população do estágio correspondente, sem substituir análise qualitativa.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Capacidade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Cobertura e saldo residual por fonte e vencimento.</w:t>
            </w:r>
          </w:p>
        </w:tc>
      </w:tr>
      <w:tr>
        <w:trPr>
          <w:cantSplit/>
        </w:trPr>
        <w:tc>
          <w:tcPr>
            <w:tcW w:type="dxa" w:w="28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Materialidade</w:t>
            </w:r>
          </w:p>
        </w:tc>
        <w:tc>
          <w:tcPr>
            <w:tcW w:type="dxa" w:w="65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Evento/RCL, evento/despesa e variação real, identificados como indicadores.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Impacto</w:t>
            </w:r>
          </w:p>
        </w:tc>
        <w:tc>
          <w:tcPr>
            <w:tcW w:type="dxa" w:w="65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Cenário observado e cenário sem evento, com fatores concorrentes.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Regra de resposta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EAF5EE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9"/>
              </w:rPr>
              <w:t xml:space="preserve">Conclusão: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Usar quatro estados: atendido; parcialmente atendido; não atendido; inconclusivo. A conclusão final deve declarar escopo, percentual/valor examinado e limitações. Não atribuir dolo, culpa, responsabilidade pessoal ou dano sem elementos próprios e competência para tanto.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2"/>
        <w:keepNext/>
      </w:pPr>
      <w:r>
        <w:rPr>
          <w:rFonts w:ascii="Century Gothic" w:hAnsi="Century Gothic" w:eastAsia="Century Gothic"/>
          <w:b/>
          <w:i w:val="0"/>
          <w:color w:val="07513A"/>
          <w:sz w:val="26"/>
        </w:rPr>
        <w:t>Complemento ao prompt mestre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7F7F7"/>
          </w:tcPr>
          <w:p>
            <w:pPr>
              <w:spacing w:after="0" w:line="269" w:lineRule="auto"/>
            </w:pPr>
            <w:r/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Consolide as respostas QF-01 a QF-09 do evento [EVENTO].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1. Reconcile o total global e elimine duplicidades.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2. Para cada quesito, apresente resposta direta, critério, teste, resultado, evidência, limitação e diligência.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3. Diferencie limite legal, orientação, faixa de atenção e indicador.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4. Estruture achados em critério, condição, causa provável, efeito/risco, valor e evidência, incorporando eventual contraditório.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5. Use apenas os quatro estados: atendido, parcialmente atendido, não atendido ou inconclusivo.</w:t>
            </w:r>
          </w:p>
          <w:p>
            <w:pPr>
              <w:spacing w:before="4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02020"/>
                <w:sz w:val="17"/>
              </w:rPr>
              <w:t>6. Não atribua responsabilidade pessoal e não exceda os dados dos autos.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Testes adicionais recomendados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1900"/>
        <w:gridCol w:w="4780"/>
        <w:gridCol w:w="2680"/>
      </w:tblGrid>
      <w:tr>
        <w:trPr>
          <w:cantSplit/>
          <w:tblHeader w:val="true"/>
        </w:trPr>
        <w:tc>
          <w:tcPr>
            <w:tcW w:type="dxa" w:w="1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Teste</w:t>
            </w:r>
          </w:p>
        </w:tc>
        <w:tc>
          <w:tcPr>
            <w:tcW w:type="dxa" w:w="4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Procedimento</w:t>
            </w:r>
          </w:p>
        </w:tc>
        <w:tc>
          <w:tcPr>
            <w:tcW w:type="dxa" w:w="2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07513A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7"/>
              </w:rPr>
              <w:t>Possível sinal de alerta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Economicidade global</w:t>
            </w:r>
          </w:p>
        </w:tc>
        <w:tc>
          <w:tcPr>
            <w:tcW w:type="dxa" w:w="4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Comparar custo do mesmo evento no ano anterior atualizado pelo IPCA e explicar escopo.</w:t>
            </w:r>
          </w:p>
        </w:tc>
        <w:tc>
          <w:tcPr>
            <w:tcW w:type="dxa" w:w="2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Crescimento real sem ampliação documentada ou com redução de entregas.</w:t>
            </w:r>
          </w:p>
        </w:tc>
      </w:tr>
      <w:tr>
        <w:trPr>
          <w:cantSplit/>
        </w:trPr>
        <w:tc>
          <w:tcPr>
            <w:tcW w:type="dxa" w:w="1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Preço de artista 2026</w:t>
            </w:r>
          </w:p>
        </w:tc>
        <w:tc>
          <w:tcPr>
            <w:tcW w:type="dxa" w:w="47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Aplicar média junina de 2025 no Estado, IPCA e exceções justificadas da NT 01/2026.</w:t>
            </w:r>
          </w:p>
        </w:tc>
        <w:tc>
          <w:tcPr>
            <w:tcW w:type="dxa" w:w="26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Preço acima da referência sem motivação; contrato individual acima da faixa de atenção.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Fragmentação</w:t>
            </w:r>
          </w:p>
        </w:tc>
        <w:tc>
          <w:tcPr>
            <w:tcW w:type="dxa" w:w="4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Agrupar objetos semelhantes por evento, período, fornecedor e unidade gestora.</w:t>
            </w:r>
          </w:p>
        </w:tc>
        <w:tc>
          <w:tcPr>
            <w:tcW w:type="dxa" w:w="2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Processos paralelos destinados ao mesmo objeto, com limiar ou justificativa artificial.</w:t>
            </w:r>
          </w:p>
        </w:tc>
      </w:tr>
      <w:tr>
        <w:trPr>
          <w:cantSplit/>
        </w:trPr>
        <w:tc>
          <w:tcPr>
            <w:tcW w:type="dxa" w:w="1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Exclusividade</w:t>
            </w:r>
          </w:p>
        </w:tc>
        <w:tc>
          <w:tcPr>
            <w:tcW w:type="dxa" w:w="47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Validar cadeia de representação, abrangência e não eventualidade conforme o regime.</w:t>
            </w:r>
          </w:p>
        </w:tc>
        <w:tc>
          <w:tcPr>
            <w:tcW w:type="dxa" w:w="26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Carta restrita a data/local ou intermediário sem vínculo permanente, quando vedado.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Entrega</w:t>
            </w:r>
          </w:p>
        </w:tc>
        <w:tc>
          <w:tcPr>
            <w:tcW w:type="dxa" w:w="4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Confrontar programação, relatório do fiscal, fotos/vídeos, mídia, nota e duração contratada.</w:t>
            </w:r>
          </w:p>
        </w:tc>
        <w:tc>
          <w:tcPr>
            <w:tcW w:type="dxa" w:w="2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Atesto genérico, artista substituído, duração menor ou evento cancelado sem restituição.</w:t>
            </w:r>
          </w:p>
        </w:tc>
      </w:tr>
      <w:tr>
        <w:trPr>
          <w:cantSplit/>
        </w:trPr>
        <w:tc>
          <w:tcPr>
            <w:tcW w:type="dxa" w:w="1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Banco/beneficiário</w:t>
            </w:r>
          </w:p>
        </w:tc>
        <w:tc>
          <w:tcPr>
            <w:tcW w:type="dxa" w:w="47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Rastrear pagamento e titularidade da conta, cessões e retenções.</w:t>
            </w:r>
          </w:p>
        </w:tc>
        <w:tc>
          <w:tcPr>
            <w:tcW w:type="dxa" w:w="26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Pagamento a terceiro não previsto, conta incompatível ou valor líquido sem memória.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Transparência</w:t>
            </w:r>
          </w:p>
        </w:tc>
        <w:tc>
          <w:tcPr>
            <w:tcW w:type="dxa" w:w="47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Confrontar PNCP, Diário, portal, Painel e e-TCM.</w:t>
            </w:r>
          </w:p>
        </w:tc>
        <w:tc>
          <w:tcPr>
            <w:tcW w:type="dxa" w:w="2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Ausência, publicação tardia ou divergência material entre bases.</w:t>
            </w:r>
          </w:p>
        </w:tc>
      </w:tr>
      <w:tr>
        <w:trPr>
          <w:cantSplit/>
        </w:trPr>
        <w:tc>
          <w:tcPr>
            <w:tcW w:type="dxa" w:w="190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center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Dados</w:t>
            </w:r>
          </w:p>
        </w:tc>
        <w:tc>
          <w:tcPr>
            <w:tcW w:type="dxa" w:w="47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Preservar exportação, filtros, data, versão e identificadores.</w:t>
            </w:r>
          </w:p>
        </w:tc>
        <w:tc>
          <w:tcPr>
            <w:tcW w:type="dxa" w:w="268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  <w:jc w:val="left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7"/>
              </w:rPr>
              <w:t>Totais não reproduzíveis, alteração posterior sem histórico ou população não congelada.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Modelo de registro do achado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07513A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FFFFFF"/>
                <w:sz w:val="18"/>
              </w:rPr>
              <w:t>Critério</w:t>
            </w:r>
          </w:p>
        </w:tc>
        <w:tc>
          <w:tcPr>
            <w:tcW w:type="dxa" w:w="666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Norma vigente, cláusula, orientação ou metodologia previamente definida.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Condição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O que ocorreu, com período, população, quantidade e valor.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Evidência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Arquivo, página/linha/registro, sistema, data da extração e responsável.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Causa provável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Explicação sustentada ou expressamente indicada como hipótese a confirmar.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Efeito/risco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Dano, exposição, distorção, descumprimento ou risco, sem extrapolação.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Manifestação</w:t>
            </w:r>
          </w:p>
        </w:tc>
        <w:tc>
          <w:tcPr>
            <w:tcW w:type="dxa" w:w="6660"/>
            <w:shd w:fill="F4F7F5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Resposta do Município e teste realizado sobre a justificativa/documento novo.</w:t>
            </w:r>
          </w:p>
        </w:tc>
      </w:tr>
      <w:tr>
        <w:trPr>
          <w:cantSplit/>
        </w:trPr>
        <w:tc>
          <w:tcPr>
            <w:tcW w:type="dxa" w:w="2700"/>
            <w:shd w:fill="EAF5EE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/>
                <w:i w:val="0"/>
                <w:color w:val="07513A"/>
                <w:sz w:val="18"/>
              </w:rPr>
              <w:t>Conclusão</w:t>
            </w:r>
          </w:p>
        </w:tc>
        <w:tc>
          <w:tcPr>
            <w:tcW w:type="dxa" w:w="6660"/>
            <w:shd w:fill="FFF2CC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8" w:lineRule="auto"/>
            </w:pPr>
            <w:r/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8"/>
              </w:rPr>
              <w:t>Atendido, parcialmente atendido, não atendido ou inconclusivo; responsável pela revisão e data.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Checklist de revisão de qualidade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população inclui atrações, infraestrutura, logística, comunicação e demais custos diretamente atribuíveis?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Cachê e custos acessórios foram segregados sem dupla contagem?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regime jurídico e o MDF utilizados correspondem ao exercício e à opção do processo?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classificação orçamentária foi testada pelo objeto, e não por código presumido?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saldo orçamentário foi apurado na data relevante e por dotação/fonte?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caixa foi conciliado e reduzido por obrigações; recursos vinculados foram excluídos quando incompatíveis?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Adiantamentos foram separados de liquidação e submetidos à prestação de contas?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/>
          <w:sz w:val="20"/>
        </w:rPr>
        <w:t>Resultado, caixa e RP utilizam o mesmo estágio e competência; a apuração mensal está rotulada como gerencial e as fontes negativas foram preservadas?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Percentuais foram descritos como indicadores, salvo limite normativo expresso?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alerta de R$ 700 mil foi tratado como materialidade, e não como teto ou presunção?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economicidade individual foi separada da economicidade global do evento?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pesquisa de preço registra identidade, período, Estado, escopo, acessórios, fonte, IPCA e memória?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série histórica mensal cobre mai/2025–abr/2026 e usa ‘sem registro’ em vez de zero quando não há contrato verificável?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ganho de notoriedade possui pelo menos dois critérios comprovados e ao menos um deles é 5.1, 5.2 ou 5.3?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O valor de compromisso é inferior ao original e, quando aplicável, não supera o ponto médio?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Custos diretos estão em planilha separada e não neutralizam artificialmente a redução do cachê?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Nos casos materiais, RREO, RGF, caixa, folha, controle interno, emergência e obrigações foram testados?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conclusão causal controla outros fatores e utiliza linguagem proporcional à evidência?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Cada exceção possui valor, documento e efeito; cada limitação possui diligência específica?</w:t>
      </w:r>
    </w:p>
    <w:p>
      <w:pPr>
        <w:pStyle w:val="ListBullet"/>
        <w:keepNext w:val="0"/>
        <w:keepLines/>
        <w:spacing w:before="0" w:after="120" w:line="312" w:lineRule="auto"/>
        <w:ind w:left="540" w:hanging="271"/>
      </w:pPr>
      <w:r>
        <w:rPr>
          <w:rFonts w:ascii="Century Gothic" w:hAnsi="Century Gothic" w:eastAsia="Century Gothic"/>
          <w:b w:val="0"/>
          <w:i w:val="0"/>
          <w:color w:val="202020"/>
          <w:sz w:val="20"/>
        </w:rPr>
        <w:t>A minuta foi conferida por revisor diferente do executor?</w:t>
      </w:r>
    </w:p>
    <w:p>
      <w:pPr>
        <w:pStyle w:val="Heading1"/>
        <w:keepNext/>
      </w:pPr>
      <w:r>
        <w:rPr>
          <w:rFonts w:ascii="Century Gothic" w:hAnsi="Century Gothic" w:eastAsia="Century Gothic"/>
          <w:b/>
          <w:i w:val="0"/>
          <w:color w:val="07513A"/>
          <w:sz w:val="32"/>
        </w:rPr>
        <w:t>Fontes oficiais e controle de versão</w:t>
      </w:r>
    </w:p>
    <w:p>
      <w:pPr>
        <w:pStyle w:val="ListBullet"/>
        <w:spacing w:after="100"/>
        <w:ind w:left="540" w:hanging="271"/>
      </w:pPr>
      <w:hyperlink r:id="rId11">
        <w:r>
          <w:rPr>
            <w:rFonts w:ascii="Century Gothic" w:hAnsi="Century Gothic"/>
            <w:color w:val="07513A"/>
            <w:u w:val="single"/>
            <w:sz w:val="19"/>
          </w:rPr>
          <w:t>Lei nº 4.320/1964</w:t>
        </w:r>
      </w:hyperlink>
    </w:p>
    <w:p>
      <w:pPr>
        <w:pStyle w:val="ListBullet"/>
        <w:spacing w:after="100"/>
        <w:ind w:left="540" w:hanging="271"/>
      </w:pPr>
      <w:hyperlink r:id="rId12">
        <w:r>
          <w:rPr>
            <w:rFonts w:ascii="Century Gothic" w:hAnsi="Century Gothic"/>
            <w:color w:val="07513A"/>
            <w:u w:val="single"/>
            <w:sz w:val="19"/>
          </w:rPr>
          <w:t>Lei Complementar nº 101/2000 — LRF</w:t>
        </w:r>
      </w:hyperlink>
    </w:p>
    <w:p>
      <w:pPr>
        <w:pStyle w:val="ListBullet"/>
        <w:spacing w:after="100"/>
        <w:ind w:left="540" w:hanging="271"/>
      </w:pPr>
      <w:hyperlink r:id="rId13">
        <w:r>
          <w:rPr>
            <w:rFonts w:ascii="Century Gothic" w:hAnsi="Century Gothic"/>
            <w:color w:val="07513A"/>
            <w:u w:val="single"/>
            <w:sz w:val="19"/>
          </w:rPr>
          <w:t>Lei nº 8.666/1993 — texto consolidado/histórico</w:t>
        </w:r>
      </w:hyperlink>
    </w:p>
    <w:p>
      <w:pPr>
        <w:pStyle w:val="ListBullet"/>
        <w:spacing w:after="100"/>
        <w:ind w:left="540" w:hanging="271"/>
      </w:pPr>
      <w:hyperlink r:id="rId14">
        <w:r>
          <w:rPr>
            <w:rFonts w:ascii="Century Gothic" w:hAnsi="Century Gothic"/>
            <w:color w:val="07513A"/>
            <w:u w:val="single"/>
            <w:sz w:val="19"/>
          </w:rPr>
          <w:t>Lei nº 14.133/2021</w:t>
        </w:r>
      </w:hyperlink>
    </w:p>
    <w:p>
      <w:pPr>
        <w:pStyle w:val="ListBullet"/>
        <w:spacing w:after="100"/>
        <w:ind w:left="540" w:hanging="271"/>
      </w:pPr>
      <w:hyperlink r:id="rId15">
        <w:r>
          <w:rPr>
            <w:rFonts w:ascii="Century Gothic" w:hAnsi="Century Gothic"/>
            <w:color w:val="07513A"/>
            <w:u w:val="single"/>
            <w:sz w:val="19"/>
          </w:rPr>
          <w:t>TCM-BA — Instrução nº 02/2005, alterada pela Instrução nº 01/2017</w:t>
        </w:r>
      </w:hyperlink>
    </w:p>
    <w:p>
      <w:pPr>
        <w:pStyle w:val="ListBullet"/>
        <w:spacing w:after="100"/>
        <w:ind w:left="540" w:hanging="271"/>
      </w:pPr>
      <w:hyperlink r:id="rId16">
        <w:r>
          <w:rPr>
            <w:rFonts w:ascii="Century Gothic" w:hAnsi="Century Gothic"/>
            <w:color w:val="07513A"/>
            <w:u w:val="single"/>
            <w:sz w:val="19"/>
          </w:rPr>
          <w:t>Nota Técnica Conjunta nº 01/2026 — MPBA/TCE-BA/TCM-BA</w:t>
        </w:r>
      </w:hyperlink>
    </w:p>
    <w:p>
      <w:pPr>
        <w:pStyle w:val="ListBullet"/>
        <w:spacing w:after="100"/>
        <w:ind w:left="540" w:hanging="271"/>
      </w:pPr>
      <w:hyperlink r:id="rId17">
        <w:r>
          <w:rPr>
            <w:rFonts w:ascii="Century Gothic" w:hAnsi="Century Gothic"/>
            <w:color w:val="07513A"/>
            <w:u w:val="single"/>
            <w:sz w:val="19"/>
          </w:rPr>
          <w:t>Cartilha Informativa — Festejos Juninos 2026 — MPBA</w:t>
        </w:r>
      </w:hyperlink>
    </w:p>
    <w:p>
      <w:pPr>
        <w:pStyle w:val="ListBullet"/>
        <w:spacing w:after="100"/>
        <w:ind w:left="540" w:hanging="271"/>
      </w:pPr>
      <w:hyperlink r:id="rId18">
        <w:r>
          <w:rPr>
            <w:rFonts w:ascii="Century Gothic" w:hAnsi="Century Gothic"/>
            <w:color w:val="07513A"/>
            <w:u w:val="single"/>
            <w:sz w:val="19"/>
          </w:rPr>
          <w:t>Nota Técnica Conjunta nº 02/2026 — compromisso voluntário</w:t>
        </w:r>
      </w:hyperlink>
    </w:p>
    <w:p>
      <w:pPr>
        <w:pStyle w:val="ListBullet"/>
        <w:spacing w:after="100"/>
        <w:ind w:left="540" w:hanging="271"/>
      </w:pPr>
      <w:hyperlink r:id="rId19">
        <w:r>
          <w:rPr>
            <w:rFonts w:ascii="Century Gothic" w:hAnsi="Century Gothic"/>
            <w:color w:val="07513A"/>
            <w:u w:val="single"/>
            <w:sz w:val="19"/>
          </w:rPr>
          <w:t>Recomendação PGJ nº 01/2026</w:t>
        </w:r>
      </w:hyperlink>
    </w:p>
    <w:p>
      <w:pPr>
        <w:pStyle w:val="ListBullet"/>
        <w:spacing w:after="100"/>
        <w:ind w:left="540" w:hanging="271"/>
      </w:pPr>
      <w:hyperlink r:id="rId20">
        <w:r>
          <w:rPr>
            <w:rFonts w:ascii="Century Gothic" w:hAnsi="Century Gothic"/>
            <w:color w:val="07513A"/>
            <w:u w:val="single"/>
            <w:sz w:val="19"/>
          </w:rPr>
          <w:t>Painel de Transparência dos Festejos Juninos</w:t>
        </w:r>
      </w:hyperlink>
    </w:p>
    <w:p>
      <w:pPr>
        <w:pStyle w:val="ListBullet"/>
        <w:spacing w:after="100"/>
        <w:ind w:left="540" w:hanging="271"/>
      </w:pPr>
      <w:hyperlink r:id="rId21">
        <w:r>
          <w:rPr>
            <w:rFonts w:ascii="Century Gothic" w:hAnsi="Century Gothic"/>
            <w:color w:val="07513A"/>
            <w:u w:val="single"/>
            <w:sz w:val="19"/>
          </w:rPr>
          <w:t>PNCP</w:t>
        </w:r>
      </w:hyperlink>
    </w:p>
    <w:p>
      <w:pPr>
        <w:pStyle w:val="ListBullet"/>
        <w:spacing w:after="100"/>
        <w:ind w:left="540" w:hanging="271"/>
      </w:pPr>
      <w:hyperlink r:id="rId22">
        <w:r>
          <w:rPr>
            <w:rFonts w:ascii="Century Gothic" w:hAnsi="Century Gothic"/>
            <w:color w:val="07513A"/>
            <w:u w:val="single"/>
            <w:sz w:val="19"/>
          </w:rPr>
          <w:t>Siconfi</w:t>
        </w:r>
      </w:hyperlink>
    </w:p>
    <w:p>
      <w:pPr>
        <w:pStyle w:val="ListBullet"/>
        <w:spacing w:after="100"/>
        <w:ind w:left="540" w:hanging="271"/>
      </w:pPr>
      <w:hyperlink r:id="rId23">
        <w:r>
          <w:rPr>
            <w:rFonts w:ascii="Century Gothic" w:hAnsi="Century Gothic"/>
            <w:color w:val="07513A"/>
            <w:u w:val="single"/>
            <w:sz w:val="19"/>
          </w:rPr>
          <w:t>Siconfi.IA — apresentação oficial</w:t>
        </w:r>
      </w:hyperlink>
    </w:p>
    <w:p>
      <w:pPr>
        <w:pStyle w:val="ListBullet"/>
        <w:spacing w:after="100"/>
        <w:ind w:left="540" w:hanging="271"/>
      </w:pPr>
      <w:hyperlink r:id="rId24">
        <w:r>
          <w:rPr>
            <w:rFonts w:ascii="Century Gothic" w:hAnsi="Century Gothic"/>
            <w:color w:val="07513A"/>
            <w:u w:val="single"/>
            <w:sz w:val="19"/>
          </w:rPr>
          <w:t>Manual de Demonstrativos Fiscais — MDF</w:t>
        </w:r>
      </w:hyperlink>
    </w:p>
    <w:p>
      <w:pPr>
        <w:pStyle w:val="ListBullet"/>
        <w:spacing w:after="100"/>
        <w:ind w:left="540" w:hanging="271"/>
      </w:pPr>
      <w:hyperlink r:id="rId25">
        <w:r>
          <w:rPr>
            <w:rFonts w:ascii="Century Gothic" w:hAnsi="Century Gothic"/>
            <w:color w:val="07513A"/>
            <w:u w:val="single"/>
            <w:sz w:val="19"/>
          </w:rPr>
          <w:t>Manual de Contabilidade Aplicada ao Setor Público — MCASP</w:t>
        </w:r>
      </w:hyperlink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center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FF2CC"/>
          </w:tcPr>
          <w:p>
            <w:pPr>
              <w:spacing w:after="0" w:line="288" w:lineRule="auto"/>
              <w:ind w:left="0" w:firstLine="0"/>
            </w:pPr>
            <w:r/>
            <w:r>
              <w:rPr>
                <w:rFonts w:ascii="Century Gothic" w:hAnsi="Century Gothic" w:eastAsia="Century Gothic"/>
                <w:b/>
                <w:i w:val="0"/>
                <w:color w:val="7A5A00"/>
                <w:sz w:val="19"/>
              </w:rPr>
              <w:t xml:space="preserve">Controle temporal: </w:t>
            </w:r>
            <w:r>
              <w:rPr>
                <w:rFonts w:ascii="Century Gothic" w:hAnsi="Century Gothic" w:eastAsia="Century Gothic"/>
                <w:b w:val="0"/>
                <w:i w:val="0"/>
                <w:color w:val="202020"/>
                <w:sz w:val="19"/>
              </w:rPr>
              <w:t>Confirmar vigência, alterações e inteiro teor na data do fato. Para 2022, utilizar a edição do MDF válida em 2022; para 2026, observar a edição vigente e eventuais atualizações posteriores. Fontes consultadas em 16/08/2026.</w:t>
            </w:r>
          </w:p>
        </w:tc>
      </w:tr>
    </w:tbl>
    <w:p>
      <w:pPr>
        <w:keepNext w:val="0"/>
        <w:spacing w:before="0" w:after="40" w:line="300" w:lineRule="auto"/>
        <w:jc w:val="left"/>
      </w:pPr>
      <w:r>
        <w:rPr>
          <w:rFonts w:ascii="Century Gothic" w:hAnsi="Century Gothic" w:eastAsia="Century Gothic"/>
          <w:b w:val="0"/>
          <w:i w:val="0"/>
          <w:color w:val="202020"/>
          <w:sz w:val="21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entury Gothic" w:hAnsi="Century Gothic" w:eastAsia="Century Gothic"/>
        <w:b w:val="0"/>
        <w:i w:val="0"/>
        <w:color w:val="5F6B66"/>
        <w:sz w:val="16"/>
      </w:rPr>
      <w:t xml:space="preserve">ELOS · CEAT/MPBA  | 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center"/>
      <w:tblLayout w:type="fixed"/>
      <w:tblLook w:firstColumn="1" w:firstRow="1" w:lastColumn="0" w:lastRow="0" w:noHBand="0" w:noVBand="1" w:val="04A0"/>
      <w:tblInd w:w="120" w:type="dxa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750"/>
      <w:gridCol w:w="2610"/>
    </w:tblGrid>
    <w:tr>
      <w:trPr>
        <w:cantSplit/>
      </w:trPr>
      <w:tc>
        <w:tcPr>
          <w:tcW w:type="dxa" w:w="6750"/>
          <w:tcMar>
            <w:top w:w="100" w:type="dxa"/>
            <w:bottom w:w="100" w:type="dxa"/>
            <w:start w:w="120" w:type="dxa"/>
            <w:end w:w="120" w:type="dxa"/>
          </w:tcMar>
          <w:vAlign w:val="center"/>
        </w:tcPr>
        <w:p>
          <w:pPr>
            <w:spacing w:before="0" w:after="0" w:line="278" w:lineRule="auto"/>
          </w:pPr>
          <w:r/>
          <w:r>
            <w:rPr>
              <w:rFonts w:ascii="Century Gothic" w:hAnsi="Century Gothic" w:eastAsia="Century Gothic"/>
              <w:b/>
              <w:i w:val="0"/>
              <w:color w:val="07513A"/>
              <w:sz w:val="17"/>
            </w:rPr>
            <w:t>Módulo 3 · Metodologia de auditoria</w:t>
          </w:r>
        </w:p>
      </w:tc>
      <w:tc>
        <w:tcPr>
          <w:tcW w:type="dxa" w:w="2610"/>
          <w:tcMar>
            <w:top w:w="100" w:type="dxa"/>
            <w:bottom w:w="100" w:type="dxa"/>
            <w:start w:w="120" w:type="dxa"/>
            <w:end w:w="120" w:type="dxa"/>
          </w:tcMar>
          <w:vAlign w:val="center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85800" cy="399985"/>
                <wp:docPr id="1" name="Picture 1" descr="Logomarca da Elos Consultoria e Treinamento" title="Elos Consultoria e Treinament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elos-ofici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39998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entury Gothic" w:hAnsi="Century Gothic"/>
      <w:color w:val="2020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entury Gothic" w:hAnsi="Century Gothic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720" w:hanging="360"/>
      <w:contextualSpacing/>
    </w:pPr>
    <w:rPr>
      <w:rFonts w:ascii="Century Gothic" w:hAnsi="Century Gothic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planalto.gov.br/ccivil_03/leis/l4320.htm" TargetMode="External"/><Relationship Id="rId12" Type="http://schemas.openxmlformats.org/officeDocument/2006/relationships/hyperlink" Target="https://www.planalto.gov.br/ccivil_03/leis/lcp/lcp101.htm" TargetMode="External"/><Relationship Id="rId13" Type="http://schemas.openxmlformats.org/officeDocument/2006/relationships/hyperlink" Target="https://www.planalto.gov.br/ccivil_03/leis/l8666cons.htm" TargetMode="External"/><Relationship Id="rId14" Type="http://schemas.openxmlformats.org/officeDocument/2006/relationships/hyperlink" Target="https://www.planalto.gov.br/ccivil_03/_ato2019-2022/2021/lei/l14133.htm" TargetMode="External"/><Relationship Id="rId15" Type="http://schemas.openxmlformats.org/officeDocument/2006/relationships/hyperlink" Target="https://www.tcm.ba.gov.br/wp-content/uploads/2015/05/Instrucao-02-2005.CONTRATACAO-DE-BANDAS-_alterada-pela-Instrucao-TCM-nn-01-2017_-public.13.05.pdf" TargetMode="External"/><Relationship Id="rId16" Type="http://schemas.openxmlformats.org/officeDocument/2006/relationships/hyperlink" Target="https://www.tcm.ba.gov.br/wp-content/uploads/2026/04/nota_tecnica_conjunta_festejos_juninos_01_2026.pdf" TargetMode="External"/><Relationship Id="rId17" Type="http://schemas.openxmlformats.org/officeDocument/2006/relationships/hyperlink" Target="https://www.mpba.mp.br/sites/default/files/documentos/cartilha_informativa_-_festejos_juninos.pdf" TargetMode="External"/><Relationship Id="rId18" Type="http://schemas.openxmlformats.org/officeDocument/2006/relationships/hyperlink" Target="https://paineljunino.mpba.mp.br/?download_id=4025&amp;sdm_process_download=1" TargetMode="External"/><Relationship Id="rId19" Type="http://schemas.openxmlformats.org/officeDocument/2006/relationships/hyperlink" Target="https://biblioteca.sistemas.mpba.mp.br/acervo/detalhe/31144?i=1" TargetMode="External"/><Relationship Id="rId20" Type="http://schemas.openxmlformats.org/officeDocument/2006/relationships/hyperlink" Target="https://paineljunino.mpba.mp.br/" TargetMode="External"/><Relationship Id="rId21" Type="http://schemas.openxmlformats.org/officeDocument/2006/relationships/hyperlink" Target="https://pncp.gov.br/" TargetMode="External"/><Relationship Id="rId22" Type="http://schemas.openxmlformats.org/officeDocument/2006/relationships/hyperlink" Target="https://siconfi.tesouro.gov.br/siconfi/index.jsf" TargetMode="External"/><Relationship Id="rId23" Type="http://schemas.openxmlformats.org/officeDocument/2006/relationships/hyperlink" Target="https://siconfi.tesouro.gov.br/siconfi/pages/public/conteudo/conteudo.jsf?id=55703" TargetMode="External"/><Relationship Id="rId24" Type="http://schemas.openxmlformats.org/officeDocument/2006/relationships/hyperlink" Target="https://www.gov.br/tesouronacional/pt-br/contabilidade-e-custos/manuais/manual-de-demonstrativos-fiscais-mdf" TargetMode="External"/><Relationship Id="rId25" Type="http://schemas.openxmlformats.org/officeDocument/2006/relationships/hyperlink" Target="https://www.gov.br/tesouronacional/pt-br/contabilidade-e-custos/manuais/manual-de-contabilidade-aplicada-ao-setor-publico-mcasp-1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Metodologia de Auditoria — Gastos com Festejos Juninos</dc:title>
  <dc:subject>Revisão técnica do roteiro de quesitos do Módulo 3</dc:subject>
  <dc:creator>Elos Consultoria e Treinamento</dc:creator>
  <cp:keywords>festejos juninos, auditoria, TCM-BA, CEAT, orçamento, finanças públicas</cp:keywords>
  <dc:description>Documento produzido para revisão antes da incorporação aos slides e à plataforma.</dc:description>
  <cp:lastModifiedBy/>
  <cp:revision>1</cp:revision>
  <dcterms:created xsi:type="dcterms:W3CDTF">2013-12-23T23:15:00Z</dcterms:created>
  <dcterms:modified xsi:type="dcterms:W3CDTF">2026-08-17T06:16:47Z</dcterms:modified>
  <cp:category/>
</cp:coreProperties>
</file>