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560" w:after="80"/>
      </w:pPr>
      <w:r>
        <w:rPr>
          <w:rFonts w:ascii="Century Gothic" w:hAnsi="Century Gothic"/>
          <w:b/>
          <w:i w:val="0"/>
          <w:color w:val="D8A928"/>
          <w:sz w:val="19"/>
        </w:rPr>
        <w:t>CEAT · MINISTÉRIO PÚBLICO DO ESTADO DA BAHIA</w:t>
      </w:r>
    </w:p>
    <w:p>
      <w:pPr>
        <w:spacing w:after="160"/>
      </w:pPr>
      <w:r>
        <w:rPr>
          <w:rFonts w:ascii="Century Gothic" w:hAnsi="Century Gothic"/>
          <w:b/>
          <w:i w:val="0"/>
          <w:color w:val="07513A"/>
          <w:sz w:val="48"/>
        </w:rPr>
        <w:t>Aspectos Contábeis — Festejos Juninos</w:t>
      </w:r>
    </w:p>
    <w:p>
      <w:pPr>
        <w:spacing w:after="360"/>
      </w:pPr>
      <w:r>
        <w:rPr>
          <w:rFonts w:ascii="Century Gothic" w:hAnsi="Century Gothic"/>
          <w:b w:val="0"/>
          <w:i w:val="0"/>
          <w:color w:val="5F6B66"/>
          <w:sz w:val="26"/>
        </w:rPr>
        <w:t>Roteiro técnico, papéis de trabalho e modelo de resposta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shd w:fill="07513A"/>
            <w:vAlign w:val="center"/>
          </w:tcPr>
          <w:p>
            <w:pPr>
              <w:spacing w:after="0" w:line="276" w:lineRule="auto"/>
            </w:pPr>
            <w:r/>
            <w:r>
              <w:rPr>
                <w:rFonts w:ascii="Century Gothic" w:hAnsi="Century Gothic"/>
                <w:b/>
                <w:i w:val="0"/>
                <w:color w:val="FFFFFF"/>
                <w:sz w:val="17"/>
              </w:rPr>
              <w:t>Módulo</w:t>
            </w:r>
          </w:p>
        </w:tc>
        <w:tc>
          <w:tcPr>
            <w:tcW w:type="dxa" w:w="6660"/>
            <w:shd w:fill="F4F7F5"/>
            <w:vAlign w:val="center"/>
          </w:tcPr>
          <w:p>
            <w:pPr>
              <w:spacing w:after="0" w:line="276" w:lineRule="auto"/>
            </w:pPr>
            <w:r/>
            <w:r>
              <w:rPr>
                <w:rFonts w:ascii="Century Gothic" w:hAnsi="Century Gothic"/>
                <w:b w:val="0"/>
                <w:i w:val="0"/>
                <w:color w:val="202020"/>
                <w:sz w:val="17"/>
              </w:rPr>
              <w:t>Módulo 3</w:t>
            </w:r>
          </w:p>
        </w:tc>
      </w:tr>
      <w:tr>
        <w:tc>
          <w:tcPr>
            <w:tcW w:type="dxa" w:w="2700"/>
            <w:shd w:fill="EAF5EE"/>
            <w:vAlign w:val="center"/>
          </w:tcPr>
          <w:p>
            <w:pPr>
              <w:spacing w:after="0" w:line="276" w:lineRule="auto"/>
            </w:pPr>
            <w:r/>
            <w:r>
              <w:rPr>
                <w:rFonts w:ascii="Century Gothic" w:hAnsi="Century Gothic"/>
                <w:b/>
                <w:i w:val="0"/>
                <w:color w:val="07513A"/>
                <w:sz w:val="17"/>
              </w:rPr>
              <w:t>Carga horária</w:t>
            </w:r>
          </w:p>
        </w:tc>
        <w:tc>
          <w:tcPr>
            <w:tcW w:type="dxa" w:w="6660"/>
            <w:shd w:fill="F4F7F5"/>
            <w:vAlign w:val="center"/>
          </w:tcPr>
          <w:p>
            <w:pPr>
              <w:spacing w:after="0" w:line="276" w:lineRule="auto"/>
            </w:pPr>
            <w:r/>
            <w:r>
              <w:rPr>
                <w:rFonts w:ascii="Century Gothic" w:hAnsi="Century Gothic"/>
                <w:b w:val="0"/>
                <w:i w:val="0"/>
                <w:color w:val="202020"/>
                <w:sz w:val="17"/>
              </w:rPr>
              <w:t>8 horas</w:t>
            </w:r>
          </w:p>
        </w:tc>
      </w:tr>
      <w:tr>
        <w:tc>
          <w:tcPr>
            <w:tcW w:type="dxa" w:w="2700"/>
            <w:shd w:fill="EAF5EE"/>
            <w:vAlign w:val="center"/>
          </w:tcPr>
          <w:p>
            <w:pPr>
              <w:spacing w:after="0" w:line="276" w:lineRule="auto"/>
            </w:pPr>
            <w:r/>
            <w:r>
              <w:rPr>
                <w:rFonts w:ascii="Century Gothic" w:hAnsi="Century Gothic"/>
                <w:b/>
                <w:i w:val="0"/>
                <w:color w:val="07513A"/>
                <w:sz w:val="17"/>
              </w:rPr>
              <w:t>Ementa ajustada</w:t>
            </w:r>
          </w:p>
        </w:tc>
        <w:tc>
          <w:tcPr>
            <w:tcW w:type="dxa" w:w="6660"/>
            <w:shd w:fill="F4F7F5"/>
            <w:vAlign w:val="center"/>
          </w:tcPr>
          <w:p>
            <w:pPr>
              <w:spacing w:after="0" w:line="276" w:lineRule="auto"/>
            </w:pPr>
            <w:r/>
            <w:r>
              <w:rPr>
                <w:rFonts w:ascii="Century Gothic" w:hAnsi="Century Gothic"/>
                <w:b w:val="0"/>
                <w:i w:val="0"/>
                <w:color w:val="202020"/>
                <w:sz w:val="17"/>
              </w:rPr>
              <w:t>Legislação básica; conceitos orçamentários e patrimoniais; levantamento no Portal da Transparência, SIGA, e-TCM e SICONFI; checklist da Nota Técnica nº 01/2026; estudo de caso; relatório técnico.</w:t>
            </w:r>
          </w:p>
        </w:tc>
      </w:tr>
      <w:tr>
        <w:tc>
          <w:tcPr>
            <w:tcW w:type="dxa" w:w="2700"/>
            <w:shd w:fill="EAF5EE"/>
            <w:vAlign w:val="center"/>
          </w:tcPr>
          <w:p>
            <w:pPr>
              <w:spacing w:after="0" w:line="276" w:lineRule="auto"/>
            </w:pPr>
            <w:r/>
            <w:r>
              <w:rPr>
                <w:rFonts w:ascii="Century Gothic" w:hAnsi="Century Gothic"/>
                <w:b/>
                <w:i w:val="0"/>
                <w:color w:val="07513A"/>
                <w:sz w:val="17"/>
              </w:rPr>
              <w:t>Método</w:t>
            </w:r>
          </w:p>
        </w:tc>
        <w:tc>
          <w:tcPr>
            <w:tcW w:type="dxa" w:w="6660"/>
            <w:shd w:fill="F4F7F5"/>
            <w:vAlign w:val="center"/>
          </w:tcPr>
          <w:p>
            <w:pPr>
              <w:spacing w:after="0" w:line="276" w:lineRule="auto"/>
            </w:pPr>
            <w:r/>
            <w:r>
              <w:rPr>
                <w:rFonts w:ascii="Century Gothic" w:hAnsi="Century Gothic"/>
                <w:b w:val="0"/>
                <w:i w:val="0"/>
                <w:color w:val="202020"/>
                <w:sz w:val="17"/>
              </w:rPr>
              <w:t>Critério → evidência → teste → cálculo → limitação → resposta → revisão</w:t>
            </w:r>
          </w:p>
        </w:tc>
      </w:tr>
      <w:tr>
        <w:tc>
          <w:tcPr>
            <w:tcW w:type="dxa" w:w="2700"/>
            <w:shd w:fill="EAF5EE"/>
            <w:vAlign w:val="center"/>
          </w:tcPr>
          <w:p>
            <w:pPr>
              <w:spacing w:after="0" w:line="276" w:lineRule="auto"/>
            </w:pPr>
            <w:r/>
            <w:r>
              <w:rPr>
                <w:rFonts w:ascii="Century Gothic" w:hAnsi="Century Gothic"/>
                <w:b/>
                <w:i w:val="0"/>
                <w:color w:val="07513A"/>
                <w:sz w:val="17"/>
              </w:rPr>
              <w:t>Uso</w:t>
            </w:r>
          </w:p>
        </w:tc>
        <w:tc>
          <w:tcPr>
            <w:tcW w:type="dxa" w:w="6660"/>
            <w:shd w:fill="FFF2CC"/>
            <w:vAlign w:val="center"/>
          </w:tcPr>
          <w:p>
            <w:pPr>
              <w:spacing w:after="0" w:line="276" w:lineRule="auto"/>
            </w:pPr>
            <w:r/>
            <w:r>
              <w:rPr>
                <w:rFonts w:ascii="Century Gothic" w:hAnsi="Century Gothic"/>
                <w:b w:val="0"/>
                <w:i w:val="0"/>
                <w:color w:val="202020"/>
                <w:sz w:val="17"/>
              </w:rPr>
              <w:t>Material editável. Toda conclusão exige validação do contador do CEAT e revisão humana.</w:t>
            </w:r>
          </w:p>
        </w:tc>
      </w:tr>
    </w:tbl>
    <w:p>
      <w:pPr>
        <w:pStyle w:val="Heading1"/>
        <w:keepNext/>
      </w:pPr>
      <w:r>
        <w:rPr>
          <w:rFonts w:ascii="Century Gothic" w:hAnsi="Century Gothic"/>
          <w:b/>
          <w:i w:val="0"/>
          <w:color w:val="07513A"/>
          <w:sz w:val="30"/>
        </w:rPr>
        <w:t>Como usar</w:t>
      </w:r>
    </w:p>
    <w:p>
      <w:pPr>
        <w:pStyle w:val="ListBullet"/>
        <w:spacing w:after="80" w:line="300" w:lineRule="auto"/>
      </w:pPr>
      <w:r>
        <w:rPr>
          <w:rFonts w:ascii="Century Gothic" w:hAnsi="Century Gothic"/>
          <w:b w:val="0"/>
          <w:i w:val="0"/>
          <w:color w:val="202020"/>
          <w:sz w:val="19"/>
        </w:rPr>
        <w:t>Comece pela planilha do módulo e complete o inventário documental.</w:t>
      </w:r>
    </w:p>
    <w:p>
      <w:pPr>
        <w:pStyle w:val="ListBullet"/>
        <w:spacing w:after="80" w:line="300" w:lineRule="auto"/>
      </w:pPr>
      <w:r>
        <w:rPr>
          <w:rFonts w:ascii="Century Gothic" w:hAnsi="Century Gothic"/>
          <w:b w:val="0"/>
          <w:i w:val="0"/>
          <w:color w:val="202020"/>
          <w:sz w:val="19"/>
        </w:rPr>
        <w:t>Execute a aba de suporte indicada na matriz de quesitos e preserve as fórmulas.</w:t>
      </w:r>
    </w:p>
    <w:p>
      <w:pPr>
        <w:pStyle w:val="ListBullet"/>
        <w:spacing w:after="80" w:line="300" w:lineRule="auto"/>
      </w:pPr>
      <w:r>
        <w:rPr>
          <w:rFonts w:ascii="Century Gothic" w:hAnsi="Century Gothic"/>
          <w:b w:val="0"/>
          <w:i w:val="0"/>
          <w:color w:val="202020"/>
          <w:sz w:val="19"/>
        </w:rPr>
        <w:t>Transfira para este roteiro apenas resultados sustentados por documento localizado.</w:t>
      </w:r>
    </w:p>
    <w:p>
      <w:pPr>
        <w:pStyle w:val="ListBullet"/>
        <w:spacing w:after="80" w:line="300" w:lineRule="auto"/>
      </w:pPr>
      <w:r>
        <w:rPr>
          <w:rFonts w:ascii="Century Gothic" w:hAnsi="Century Gothic"/>
          <w:b w:val="0"/>
          <w:i w:val="0"/>
          <w:color w:val="202020"/>
          <w:sz w:val="19"/>
        </w:rPr>
        <w:t>Diferencie fato comprovado, indício, limitação e diligência; não complete lacunas com suposições.</w:t>
      </w:r>
    </w:p>
    <w:p>
      <w:pPr>
        <w:pStyle w:val="ListBullet"/>
        <w:spacing w:after="80" w:line="300" w:lineRule="auto"/>
      </w:pPr>
      <w:r>
        <w:rPr>
          <w:rFonts w:ascii="Century Gothic" w:hAnsi="Century Gothic"/>
          <w:b w:val="0"/>
          <w:i w:val="0"/>
          <w:color w:val="202020"/>
          <w:sz w:val="19"/>
        </w:rPr>
        <w:t>Submeta a minuta à revisão técnica e, quando cabível, ao contraditório.</w:t>
      </w:r>
    </w:p>
    <w:p>
      <w:pPr>
        <w:pStyle w:val="Heading1"/>
        <w:keepNext/>
      </w:pPr>
      <w:r>
        <w:rPr>
          <w:rFonts w:ascii="Century Gothic" w:hAnsi="Century Gothic"/>
          <w:b/>
          <w:i w:val="0"/>
          <w:color w:val="07513A"/>
          <w:sz w:val="30"/>
        </w:rPr>
        <w:t>Hierarquia das fontes e conciliação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shd w:fill="EAF5EE"/>
            <w:vAlign w:val="center"/>
          </w:tcPr>
          <w:p>
            <w:pPr>
              <w:spacing w:after="0" w:line="276" w:lineRule="auto"/>
            </w:pPr>
            <w:r/>
            <w:r>
              <w:rPr>
                <w:rFonts w:ascii="Century Gothic" w:hAnsi="Century Gothic"/>
                <w:b/>
                <w:i w:val="0"/>
                <w:color w:val="07513A"/>
                <w:sz w:val="17"/>
              </w:rPr>
              <w:t>Processo/contrato</w:t>
            </w:r>
          </w:p>
        </w:tc>
        <w:tc>
          <w:tcPr>
            <w:tcW w:type="dxa" w:w="6660"/>
            <w:shd w:fill="F4F7F5"/>
            <w:vAlign w:val="center"/>
          </w:tcPr>
          <w:p>
            <w:pPr>
              <w:spacing w:after="0" w:line="276" w:lineRule="auto"/>
            </w:pPr>
            <w:r/>
            <w:r>
              <w:rPr>
                <w:rFonts w:ascii="Century Gothic" w:hAnsi="Century Gothic"/>
                <w:b w:val="0"/>
                <w:i w:val="0"/>
                <w:color w:val="202020"/>
                <w:sz w:val="17"/>
              </w:rPr>
              <w:t>Fonte primária do contratado, objeto, artista, representante e valor pactuado.</w:t>
            </w:r>
          </w:p>
        </w:tc>
      </w:tr>
      <w:tr>
        <w:tc>
          <w:tcPr>
            <w:tcW w:type="dxa" w:w="2700"/>
            <w:shd w:fill="EAF5EE"/>
            <w:vAlign w:val="center"/>
          </w:tcPr>
          <w:p>
            <w:pPr>
              <w:spacing w:after="0" w:line="276" w:lineRule="auto"/>
            </w:pPr>
            <w:r/>
            <w:r>
              <w:rPr>
                <w:rFonts w:ascii="Century Gothic" w:hAnsi="Century Gothic"/>
                <w:b/>
                <w:i w:val="0"/>
                <w:color w:val="07513A"/>
                <w:sz w:val="17"/>
              </w:rPr>
              <w:t>Painel Junino MPBA</w:t>
            </w:r>
          </w:p>
        </w:tc>
        <w:tc>
          <w:tcPr>
            <w:tcW w:type="dxa" w:w="6660"/>
            <w:shd w:fill="F4F7F5"/>
            <w:vAlign w:val="center"/>
          </w:tcPr>
          <w:p>
            <w:pPr>
              <w:spacing w:after="0" w:line="276" w:lineRule="auto"/>
            </w:pPr>
            <w:r/>
            <w:r>
              <w:rPr>
                <w:rFonts w:ascii="Century Gothic" w:hAnsi="Century Gothic"/>
                <w:b w:val="0"/>
                <w:i w:val="0"/>
                <w:color w:val="202020"/>
                <w:sz w:val="17"/>
              </w:rPr>
              <w:t>Identificação inicial das contratações declaradas; não comprova execução nem pagamento.</w:t>
            </w:r>
          </w:p>
        </w:tc>
      </w:tr>
      <w:tr>
        <w:tc>
          <w:tcPr>
            <w:tcW w:type="dxa" w:w="2700"/>
            <w:shd w:fill="EAF5EE"/>
            <w:vAlign w:val="center"/>
          </w:tcPr>
          <w:p>
            <w:pPr>
              <w:spacing w:after="0" w:line="276" w:lineRule="auto"/>
            </w:pPr>
            <w:r/>
            <w:r>
              <w:rPr>
                <w:rFonts w:ascii="Century Gothic" w:hAnsi="Century Gothic"/>
                <w:b/>
                <w:i w:val="0"/>
                <w:color w:val="07513A"/>
                <w:sz w:val="17"/>
              </w:rPr>
              <w:t>Consulta TCM/SIGA</w:t>
            </w:r>
          </w:p>
        </w:tc>
        <w:tc>
          <w:tcPr>
            <w:tcW w:type="dxa" w:w="6660"/>
            <w:shd w:fill="F4F7F5"/>
            <w:vAlign w:val="center"/>
          </w:tcPr>
          <w:p>
            <w:pPr>
              <w:spacing w:after="0" w:line="276" w:lineRule="auto"/>
            </w:pPr>
            <w:r/>
            <w:r>
              <w:rPr>
                <w:rFonts w:ascii="Century Gothic" w:hAnsi="Century Gothic"/>
                <w:b w:val="0"/>
                <w:i w:val="0"/>
                <w:color w:val="202020"/>
                <w:sz w:val="17"/>
              </w:rPr>
              <w:t>Base transacional de empenhos e demais registros; validar o leiaute e a semântica da coluna 'valor'.</w:t>
            </w:r>
          </w:p>
        </w:tc>
      </w:tr>
      <w:tr>
        <w:tc>
          <w:tcPr>
            <w:tcW w:type="dxa" w:w="2700"/>
            <w:shd w:fill="EAF5EE"/>
            <w:vAlign w:val="center"/>
          </w:tcPr>
          <w:p>
            <w:pPr>
              <w:spacing w:after="0" w:line="276" w:lineRule="auto"/>
            </w:pPr>
            <w:r/>
            <w:r>
              <w:rPr>
                <w:rFonts w:ascii="Century Gothic" w:hAnsi="Century Gothic"/>
                <w:b/>
                <w:i w:val="0"/>
                <w:color w:val="07513A"/>
                <w:sz w:val="17"/>
              </w:rPr>
              <w:t>PCMGE056</w:t>
            </w:r>
          </w:p>
        </w:tc>
        <w:tc>
          <w:tcPr>
            <w:tcW w:type="dxa" w:w="6660"/>
            <w:shd w:fill="F4F7F5"/>
            <w:vAlign w:val="center"/>
          </w:tcPr>
          <w:p>
            <w:pPr>
              <w:spacing w:after="0" w:line="276" w:lineRule="auto"/>
            </w:pPr>
            <w:r/>
            <w:r>
              <w:rPr>
                <w:rFonts w:ascii="Century Gothic" w:hAnsi="Century Gothic"/>
                <w:b w:val="0"/>
                <w:i w:val="0"/>
                <w:color w:val="202020"/>
                <w:sz w:val="17"/>
              </w:rPr>
              <w:t>População analítica preferencial de pagamentos; vincular pagamento, empenho, credor, processo, data e fonte.</w:t>
            </w:r>
          </w:p>
        </w:tc>
      </w:tr>
      <w:tr>
        <w:tc>
          <w:tcPr>
            <w:tcW w:type="dxa" w:w="2700"/>
            <w:shd w:fill="EAF5EE"/>
            <w:vAlign w:val="center"/>
          </w:tcPr>
          <w:p>
            <w:pPr>
              <w:spacing w:after="0" w:line="276" w:lineRule="auto"/>
            </w:pPr>
            <w:r/>
            <w:r>
              <w:rPr>
                <w:rFonts w:ascii="Century Gothic" w:hAnsi="Century Gothic"/>
                <w:b/>
                <w:i w:val="0"/>
                <w:color w:val="07513A"/>
                <w:sz w:val="17"/>
              </w:rPr>
              <w:t>PCMGE015</w:t>
            </w:r>
          </w:p>
        </w:tc>
        <w:tc>
          <w:tcPr>
            <w:tcW w:type="dxa" w:w="6660"/>
            <w:shd w:fill="F4F7F5"/>
            <w:vAlign w:val="center"/>
          </w:tcPr>
          <w:p>
            <w:pPr>
              <w:spacing w:after="0" w:line="276" w:lineRule="auto"/>
            </w:pPr>
            <w:r/>
            <w:r>
              <w:rPr>
                <w:rFonts w:ascii="Century Gothic" w:hAnsi="Century Gothic"/>
                <w:b w:val="0"/>
                <w:i w:val="0"/>
                <w:color w:val="202020"/>
                <w:sz w:val="17"/>
              </w:rPr>
              <w:t>Controle contábil por ação, fonte, detalhamento, estágio e período; não somar à população transacional.</w:t>
            </w:r>
          </w:p>
        </w:tc>
      </w:tr>
      <w:tr>
        <w:tc>
          <w:tcPr>
            <w:tcW w:type="dxa" w:w="2700"/>
            <w:shd w:fill="EAF5EE"/>
            <w:vAlign w:val="center"/>
          </w:tcPr>
          <w:p>
            <w:pPr>
              <w:spacing w:after="0" w:line="276" w:lineRule="auto"/>
            </w:pPr>
            <w:r/>
            <w:r>
              <w:rPr>
                <w:rFonts w:ascii="Century Gothic" w:hAnsi="Century Gothic"/>
                <w:b/>
                <w:i w:val="0"/>
                <w:color w:val="07513A"/>
                <w:sz w:val="17"/>
              </w:rPr>
              <w:t>Portal/PNCP/banco</w:t>
            </w:r>
          </w:p>
        </w:tc>
        <w:tc>
          <w:tcPr>
            <w:tcW w:type="dxa" w:w="6660"/>
            <w:shd w:fill="F4F7F5"/>
            <w:vAlign w:val="center"/>
          </w:tcPr>
          <w:p>
            <w:pPr>
              <w:spacing w:after="0" w:line="276" w:lineRule="auto"/>
            </w:pPr>
            <w:r/>
            <w:r>
              <w:rPr>
                <w:rFonts w:ascii="Century Gothic" w:hAnsi="Century Gothic"/>
                <w:b w:val="0"/>
                <w:i w:val="0"/>
                <w:color w:val="202020"/>
                <w:sz w:val="17"/>
              </w:rPr>
              <w:t>Corroboração da contratação, publicidade, liquidação e desembolso.</w:t>
            </w:r>
          </w:p>
        </w:tc>
      </w:tr>
    </w:tbl>
    <w:p>
      <w:pPr>
        <w:pStyle w:val="Heading1"/>
        <w:keepNext/>
      </w:pPr>
      <w:r>
        <w:rPr>
          <w:rFonts w:ascii="Century Gothic" w:hAnsi="Century Gothic"/>
          <w:b/>
          <w:i w:val="0"/>
          <w:color w:val="07513A"/>
          <w:sz w:val="30"/>
        </w:rPr>
        <w:t>Case de validação — Jequié/BA 2026</w:t>
      </w:r>
    </w:p>
    <w:p>
      <w:pPr>
        <w:pStyle w:val="ListBullet"/>
        <w:spacing w:after="80" w:line="300" w:lineRule="auto"/>
      </w:pPr>
      <w:r>
        <w:rPr>
          <w:rFonts w:ascii="Century Gothic" w:hAnsi="Century Gothic"/>
          <w:b w:val="0"/>
          <w:i w:val="0"/>
          <w:color w:val="202020"/>
          <w:sz w:val="19"/>
        </w:rPr>
        <w:t>Detalhamento 94 até junho: Consulta TCM R$ 4.040.000,00 (31 registros) versus PCMGE015 R$ 5.327.000,00; diferença preliminar de R$ 1.287.000,00.</w:t>
      </w:r>
    </w:p>
    <w:p>
      <w:pPr>
        <w:pStyle w:val="ListBullet"/>
        <w:spacing w:after="80" w:line="300" w:lineRule="auto"/>
      </w:pPr>
      <w:r>
        <w:rPr>
          <w:rFonts w:ascii="Century Gothic" w:hAnsi="Century Gothic"/>
          <w:b w:val="0"/>
          <w:i w:val="0"/>
          <w:color w:val="202020"/>
          <w:sz w:val="19"/>
        </w:rPr>
        <w:t>Somente junho: Consulta TCM R$ 3.719.000,00 (26 registros) versus PCMGE015 R$ 4.357.000,00; diferença preliminar de R$ 638.000,00.</w:t>
      </w:r>
    </w:p>
    <w:p>
      <w:pPr>
        <w:pStyle w:val="ListBullet"/>
        <w:spacing w:after="80" w:line="300" w:lineRule="auto"/>
      </w:pPr>
      <w:r>
        <w:rPr>
          <w:rFonts w:ascii="Century Gothic" w:hAnsi="Century Gothic"/>
          <w:b w:val="0"/>
          <w:i w:val="0"/>
          <w:color w:val="202020"/>
          <w:sz w:val="19"/>
        </w:rPr>
        <w:t>O 3.3.90.39.99 do Município inteiro somou R$ 52.426.676,73 até junho, enquanto o recorte da ação do evento no PCMGE015 foi R$ 3.172.067,88; por isso o 99 só entra com vínculo documental.</w:t>
      </w:r>
    </w:p>
    <w:p>
      <w:pPr>
        <w:pStyle w:val="ListBullet"/>
        <w:spacing w:after="80" w:line="300" w:lineRule="auto"/>
      </w:pPr>
      <w:r>
        <w:rPr>
          <w:rFonts w:ascii="Century Gothic" w:hAnsi="Century Gothic"/>
          <w:b w:val="0"/>
          <w:i w:val="0"/>
          <w:color w:val="202020"/>
          <w:sz w:val="19"/>
        </w:rPr>
        <w:t>As diferenças exigem conciliação de estágio, data de corte, ação, fonte, anulação e retificação; não constituem, isoladamente, irregularidade ou dano.</w:t>
      </w:r>
    </w:p>
    <w:p>
      <w:pPr>
        <w:pStyle w:val="Heading1"/>
        <w:keepNext/>
      </w:pPr>
      <w:r>
        <w:rPr>
          <w:rFonts w:ascii="Century Gothic" w:hAnsi="Century Gothic"/>
          <w:b/>
          <w:i w:val="0"/>
          <w:color w:val="07513A"/>
          <w:sz w:val="30"/>
        </w:rPr>
        <w:t>Estrutura padrão da resposta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shd w:fill="EAF5EE"/>
            <w:vAlign w:val="center"/>
          </w:tcPr>
          <w:p>
            <w:pPr>
              <w:spacing w:after="0" w:line="276" w:lineRule="auto"/>
            </w:pPr>
            <w:r/>
            <w:r>
              <w:rPr>
                <w:rFonts w:ascii="Century Gothic" w:hAnsi="Century Gothic"/>
                <w:b/>
                <w:i w:val="0"/>
                <w:color w:val="07513A"/>
                <w:sz w:val="17"/>
              </w:rPr>
              <w:t>1. Resposta direta</w:t>
            </w:r>
          </w:p>
        </w:tc>
        <w:tc>
          <w:tcPr>
            <w:tcW w:type="dxa" w:w="6660"/>
            <w:shd w:fill="F4F7F5"/>
            <w:vAlign w:val="center"/>
          </w:tcPr>
          <w:p>
            <w:pPr>
              <w:spacing w:after="0" w:line="276" w:lineRule="auto"/>
            </w:pPr>
            <w:r/>
            <w:r>
              <w:rPr>
                <w:rFonts w:ascii="Century Gothic" w:hAnsi="Century Gothic"/>
                <w:b w:val="0"/>
                <w:i w:val="0"/>
                <w:color w:val="202020"/>
                <w:sz w:val="17"/>
              </w:rPr>
              <w:t>Sim, não, parcialmente ou inconclusivo — seguida do resultado numérico principal.</w:t>
            </w:r>
          </w:p>
        </w:tc>
      </w:tr>
      <w:tr>
        <w:tc>
          <w:tcPr>
            <w:tcW w:type="dxa" w:w="2700"/>
            <w:shd w:fill="EAF5EE"/>
            <w:vAlign w:val="center"/>
          </w:tcPr>
          <w:p>
            <w:pPr>
              <w:spacing w:after="0" w:line="276" w:lineRule="auto"/>
            </w:pPr>
            <w:r/>
            <w:r>
              <w:rPr>
                <w:rFonts w:ascii="Century Gothic" w:hAnsi="Century Gothic"/>
                <w:b/>
                <w:i w:val="0"/>
                <w:color w:val="07513A"/>
                <w:sz w:val="17"/>
              </w:rPr>
              <w:t>2. Fundamentação</w:t>
            </w:r>
          </w:p>
        </w:tc>
        <w:tc>
          <w:tcPr>
            <w:tcW w:type="dxa" w:w="6660"/>
            <w:shd w:fill="F4F7F5"/>
            <w:vAlign w:val="center"/>
          </w:tcPr>
          <w:p>
            <w:pPr>
              <w:spacing w:after="0" w:line="276" w:lineRule="auto"/>
            </w:pPr>
            <w:r/>
            <w:r>
              <w:rPr>
                <w:rFonts w:ascii="Century Gothic" w:hAnsi="Century Gothic"/>
                <w:b w:val="0"/>
                <w:i w:val="0"/>
                <w:color w:val="202020"/>
                <w:sz w:val="17"/>
              </w:rPr>
              <w:t>Critério aplicado, procedimento executado e evidências-chave.</w:t>
            </w:r>
          </w:p>
        </w:tc>
      </w:tr>
      <w:tr>
        <w:tc>
          <w:tcPr>
            <w:tcW w:type="dxa" w:w="2700"/>
            <w:shd w:fill="EAF5EE"/>
            <w:vAlign w:val="center"/>
          </w:tcPr>
          <w:p>
            <w:pPr>
              <w:spacing w:after="0" w:line="276" w:lineRule="auto"/>
            </w:pPr>
            <w:r/>
            <w:r>
              <w:rPr>
                <w:rFonts w:ascii="Century Gothic" w:hAnsi="Century Gothic"/>
                <w:b/>
                <w:i w:val="0"/>
                <w:color w:val="07513A"/>
                <w:sz w:val="17"/>
              </w:rPr>
              <w:t>3. Memória</w:t>
            </w:r>
          </w:p>
        </w:tc>
        <w:tc>
          <w:tcPr>
            <w:tcW w:type="dxa" w:w="6660"/>
            <w:shd w:fill="F4F7F5"/>
            <w:vAlign w:val="center"/>
          </w:tcPr>
          <w:p>
            <w:pPr>
              <w:spacing w:after="0" w:line="276" w:lineRule="auto"/>
            </w:pPr>
            <w:r/>
            <w:r>
              <w:rPr>
                <w:rFonts w:ascii="Century Gothic" w:hAnsi="Century Gothic"/>
                <w:b w:val="0"/>
                <w:i w:val="0"/>
                <w:color w:val="202020"/>
                <w:sz w:val="17"/>
              </w:rPr>
              <w:t>Fórmula, base, período, unidade e reconciliação.</w:t>
            </w:r>
          </w:p>
        </w:tc>
      </w:tr>
      <w:tr>
        <w:tc>
          <w:tcPr>
            <w:tcW w:type="dxa" w:w="2700"/>
            <w:shd w:fill="EAF5EE"/>
            <w:vAlign w:val="center"/>
          </w:tcPr>
          <w:p>
            <w:pPr>
              <w:spacing w:after="0" w:line="276" w:lineRule="auto"/>
            </w:pPr>
            <w:r/>
            <w:r>
              <w:rPr>
                <w:rFonts w:ascii="Century Gothic" w:hAnsi="Century Gothic"/>
                <w:b/>
                <w:i w:val="0"/>
                <w:color w:val="07513A"/>
                <w:sz w:val="17"/>
              </w:rPr>
              <w:t>4. Limitações</w:t>
            </w:r>
          </w:p>
        </w:tc>
        <w:tc>
          <w:tcPr>
            <w:tcW w:type="dxa" w:w="6660"/>
            <w:shd w:fill="F4F7F5"/>
            <w:vAlign w:val="center"/>
          </w:tcPr>
          <w:p>
            <w:pPr>
              <w:spacing w:after="0" w:line="276" w:lineRule="auto"/>
            </w:pPr>
            <w:r/>
            <w:r>
              <w:rPr>
                <w:rFonts w:ascii="Century Gothic" w:hAnsi="Century Gothic"/>
                <w:b w:val="0"/>
                <w:i w:val="0"/>
                <w:color w:val="202020"/>
                <w:sz w:val="17"/>
              </w:rPr>
              <w:t>Dados ausentes, inconsistentes ou fora dos autos e efeito sobre a conclusão.</w:t>
            </w:r>
          </w:p>
        </w:tc>
      </w:tr>
      <w:tr>
        <w:tc>
          <w:tcPr>
            <w:tcW w:type="dxa" w:w="2700"/>
            <w:shd w:fill="EAF5EE"/>
            <w:vAlign w:val="center"/>
          </w:tcPr>
          <w:p>
            <w:pPr>
              <w:spacing w:after="0" w:line="276" w:lineRule="auto"/>
            </w:pPr>
            <w:r/>
            <w:r>
              <w:rPr>
                <w:rFonts w:ascii="Century Gothic" w:hAnsi="Century Gothic"/>
                <w:b/>
                <w:i w:val="0"/>
                <w:color w:val="07513A"/>
                <w:sz w:val="17"/>
              </w:rPr>
              <w:t>5. Diligências</w:t>
            </w:r>
          </w:p>
        </w:tc>
        <w:tc>
          <w:tcPr>
            <w:tcW w:type="dxa" w:w="6660"/>
            <w:shd w:fill="F4F7F5"/>
            <w:vAlign w:val="center"/>
          </w:tcPr>
          <w:p>
            <w:pPr>
              <w:spacing w:after="0" w:line="276" w:lineRule="auto"/>
            </w:pPr>
            <w:r/>
            <w:r>
              <w:rPr>
                <w:rFonts w:ascii="Century Gothic" w:hAnsi="Century Gothic"/>
                <w:b w:val="0"/>
                <w:i w:val="0"/>
                <w:color w:val="202020"/>
                <w:sz w:val="17"/>
              </w:rPr>
              <w:t>Documentos exatos a solicitar e teste que serão capazes de concluir.</w:t>
            </w:r>
          </w:p>
        </w:tc>
      </w:tr>
    </w:tbl>
    <w:p>
      <w:pPr>
        <w:pageBreakBefore/>
        <w:spacing w:after="100"/>
      </w:pPr>
      <w:r>
        <w:rPr>
          <w:rFonts w:ascii="Century Gothic" w:hAnsi="Century Gothic"/>
          <w:b/>
          <w:i w:val="0"/>
          <w:color w:val="D8A928"/>
          <w:sz w:val="19"/>
        </w:rPr>
        <w:t>QF-01 · QUESITO 1</w:t>
      </w:r>
    </w:p>
    <w:p>
      <w:pPr>
        <w:keepNext/>
        <w:spacing w:after="200"/>
      </w:pPr>
      <w:r>
        <w:rPr>
          <w:rFonts w:ascii="Century Gothic" w:hAnsi="Century Gothic"/>
          <w:b/>
          <w:i w:val="0"/>
          <w:color w:val="07513A"/>
          <w:sz w:val="29"/>
        </w:rPr>
        <w:t>Os gastos com festejos juninos possuem previsão adequada na Lei Orçamentária Anual, seja por dotação específica ou crédito adicional que os abrange?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shd w:fill="07513A"/>
            <w:vAlign w:val="center"/>
          </w:tcPr>
          <w:p>
            <w:pPr>
              <w:spacing w:after="0" w:line="276" w:lineRule="auto"/>
            </w:pPr>
            <w:r/>
            <w:r>
              <w:rPr>
                <w:rFonts w:ascii="Century Gothic" w:hAnsi="Century Gothic"/>
                <w:b/>
                <w:i w:val="0"/>
                <w:color w:val="FFFFFF"/>
                <w:sz w:val="17"/>
              </w:rPr>
              <w:t>Objetivo do teste</w:t>
            </w:r>
          </w:p>
        </w:tc>
        <w:tc>
          <w:tcPr>
            <w:tcW w:type="dxa" w:w="6660"/>
            <w:shd w:fill="F4F7F5"/>
            <w:vAlign w:val="center"/>
          </w:tcPr>
          <w:p>
            <w:pPr>
              <w:spacing w:after="0" w:line="276" w:lineRule="auto"/>
            </w:pPr>
            <w:r/>
            <w:r>
              <w:rPr>
                <w:rFonts w:ascii="Century Gothic" w:hAnsi="Century Gothic"/>
                <w:b w:val="0"/>
                <w:i w:val="0"/>
                <w:color w:val="202020"/>
                <w:sz w:val="17"/>
              </w:rPr>
              <w:t>Comprovar autorização e suficiência orçamentária antes da execução.</w:t>
            </w:r>
          </w:p>
        </w:tc>
      </w:tr>
      <w:tr>
        <w:tc>
          <w:tcPr>
            <w:tcW w:type="dxa" w:w="2700"/>
            <w:shd w:fill="EAF5EE"/>
            <w:vAlign w:val="center"/>
          </w:tcPr>
          <w:p>
            <w:pPr>
              <w:spacing w:after="0" w:line="276" w:lineRule="auto"/>
            </w:pPr>
            <w:r/>
            <w:r>
              <w:rPr>
                <w:rFonts w:ascii="Century Gothic" w:hAnsi="Century Gothic"/>
                <w:b/>
                <w:i w:val="0"/>
                <w:color w:val="07513A"/>
                <w:sz w:val="17"/>
              </w:rPr>
              <w:t>Critério</w:t>
            </w:r>
          </w:p>
        </w:tc>
        <w:tc>
          <w:tcPr>
            <w:tcW w:type="dxa" w:w="6660"/>
            <w:shd w:fill="F4F7F5"/>
            <w:vAlign w:val="center"/>
          </w:tcPr>
          <w:p>
            <w:pPr>
              <w:spacing w:after="0" w:line="276" w:lineRule="auto"/>
            </w:pPr>
            <w:r/>
            <w:r>
              <w:rPr>
                <w:rFonts w:ascii="Century Gothic" w:hAnsi="Century Gothic"/>
                <w:b w:val="0"/>
                <w:i w:val="0"/>
                <w:color w:val="202020"/>
                <w:sz w:val="17"/>
              </w:rPr>
              <w:t>Lei nº 4.320/1964; LOA, QDD e legislação municipal de créditos adicionais.</w:t>
            </w:r>
          </w:p>
        </w:tc>
      </w:tr>
      <w:tr>
        <w:tc>
          <w:tcPr>
            <w:tcW w:type="dxa" w:w="2700"/>
            <w:shd w:fill="EAF5EE"/>
            <w:vAlign w:val="center"/>
          </w:tcPr>
          <w:p>
            <w:pPr>
              <w:spacing w:after="0" w:line="276" w:lineRule="auto"/>
            </w:pPr>
            <w:r/>
            <w:r>
              <w:rPr>
                <w:rFonts w:ascii="Century Gothic" w:hAnsi="Century Gothic"/>
                <w:b/>
                <w:i w:val="0"/>
                <w:color w:val="07513A"/>
                <w:sz w:val="17"/>
              </w:rPr>
              <w:t>Evidências mínimas</w:t>
            </w:r>
          </w:p>
        </w:tc>
        <w:tc>
          <w:tcPr>
            <w:tcW w:type="dxa" w:w="6660"/>
            <w:shd w:fill="F4F7F5"/>
            <w:vAlign w:val="center"/>
          </w:tcPr>
          <w:p>
            <w:pPr>
              <w:spacing w:after="0" w:line="276" w:lineRule="auto"/>
            </w:pPr>
            <w:r/>
            <w:r>
              <w:rPr>
                <w:rFonts w:ascii="Century Gothic" w:hAnsi="Century Gothic"/>
                <w:b w:val="0"/>
                <w:i w:val="0"/>
                <w:color w:val="202020"/>
                <w:sz w:val="17"/>
              </w:rPr>
              <w:t>LOA/QDD; leis ou decretos de crédito; fonte de recursos; razão da dotação; empenhos do evento; comprovante de publicação.</w:t>
            </w:r>
          </w:p>
        </w:tc>
      </w:tr>
      <w:tr>
        <w:tc>
          <w:tcPr>
            <w:tcW w:type="dxa" w:w="2700"/>
            <w:shd w:fill="EAF5EE"/>
            <w:vAlign w:val="center"/>
          </w:tcPr>
          <w:p>
            <w:pPr>
              <w:spacing w:after="0" w:line="276" w:lineRule="auto"/>
            </w:pPr>
            <w:r/>
            <w:r>
              <w:rPr>
                <w:rFonts w:ascii="Century Gothic" w:hAnsi="Century Gothic"/>
                <w:b/>
                <w:i w:val="0"/>
                <w:color w:val="07513A"/>
                <w:sz w:val="17"/>
              </w:rPr>
              <w:t>Memória de cálculo</w:t>
            </w:r>
          </w:p>
        </w:tc>
        <w:tc>
          <w:tcPr>
            <w:tcW w:type="dxa" w:w="6660"/>
            <w:shd w:fill="F4F7F5"/>
            <w:vAlign w:val="center"/>
          </w:tcPr>
          <w:p>
            <w:pPr>
              <w:spacing w:after="0" w:line="276" w:lineRule="auto"/>
            </w:pPr>
            <w:r/>
            <w:r>
              <w:rPr>
                <w:rFonts w:ascii="Century Gothic" w:hAnsi="Century Gothic"/>
                <w:b w:val="0"/>
                <w:i w:val="0"/>
                <w:color w:val="202020"/>
                <w:sz w:val="17"/>
              </w:rPr>
              <w:t>Dotação atualizada = dotação inicial + créditos − anulações; saldo = dotação atualizada − empenhado.</w:t>
            </w:r>
          </w:p>
        </w:tc>
      </w:tr>
      <w:tr>
        <w:tc>
          <w:tcPr>
            <w:tcW w:type="dxa" w:w="2700"/>
            <w:shd w:fill="EAF5EE"/>
            <w:vAlign w:val="center"/>
          </w:tcPr>
          <w:p>
            <w:pPr>
              <w:spacing w:after="0" w:line="276" w:lineRule="auto"/>
            </w:pPr>
            <w:r/>
            <w:r>
              <w:rPr>
                <w:rFonts w:ascii="Century Gothic" w:hAnsi="Century Gothic"/>
                <w:b/>
                <w:i w:val="0"/>
                <w:color w:val="07513A"/>
                <w:sz w:val="17"/>
              </w:rPr>
              <w:t>Produto da resposta</w:t>
            </w:r>
          </w:p>
        </w:tc>
        <w:tc>
          <w:tcPr>
            <w:tcW w:type="dxa" w:w="6660"/>
            <w:shd w:fill="F4F7F5"/>
            <w:vAlign w:val="center"/>
          </w:tcPr>
          <w:p>
            <w:pPr>
              <w:spacing w:after="0" w:line="276" w:lineRule="auto"/>
            </w:pPr>
            <w:r/>
            <w:r>
              <w:rPr>
                <w:rFonts w:ascii="Century Gothic" w:hAnsi="Century Gothic"/>
                <w:b w:val="0"/>
                <w:i w:val="0"/>
                <w:color w:val="202020"/>
                <w:sz w:val="17"/>
              </w:rPr>
              <w:t>Responder se há previsão, qual a dotação/fonte, se o crédito foi aberto regularmente e se houve insuficiência.</w:t>
            </w:r>
          </w:p>
        </w:tc>
      </w:tr>
      <w:tr>
        <w:tc>
          <w:tcPr>
            <w:tcW w:type="dxa" w:w="2700"/>
            <w:shd w:fill="EAF5EE"/>
            <w:vAlign w:val="center"/>
          </w:tcPr>
          <w:p>
            <w:pPr>
              <w:spacing w:after="0" w:line="276" w:lineRule="auto"/>
            </w:pPr>
            <w:r/>
            <w:r>
              <w:rPr>
                <w:rFonts w:ascii="Century Gothic" w:hAnsi="Century Gothic"/>
                <w:b/>
                <w:i w:val="0"/>
                <w:color w:val="07513A"/>
                <w:sz w:val="17"/>
              </w:rPr>
              <w:t>Cautela</w:t>
            </w:r>
          </w:p>
        </w:tc>
        <w:tc>
          <w:tcPr>
            <w:tcW w:type="dxa" w:w="6660"/>
            <w:shd w:fill="FFF2CC"/>
            <w:vAlign w:val="center"/>
          </w:tcPr>
          <w:p>
            <w:pPr>
              <w:spacing w:after="0" w:line="276" w:lineRule="auto"/>
            </w:pPr>
            <w:r/>
            <w:r>
              <w:rPr>
                <w:rFonts w:ascii="Century Gothic" w:hAnsi="Century Gothic"/>
                <w:b w:val="0"/>
                <w:i w:val="0"/>
                <w:color w:val="202020"/>
                <w:sz w:val="17"/>
              </w:rPr>
              <w:t>Dotação genérica pode abranger o evento, mas exige vínculo documental com a ação e a classificação efetivamente usada.</w:t>
            </w:r>
          </w:p>
        </w:tc>
      </w:tr>
    </w:tbl>
    <w:p>
      <w:pPr>
        <w:pStyle w:val="Heading2"/>
        <w:keepNext/>
      </w:pPr>
      <w:r>
        <w:rPr>
          <w:rFonts w:ascii="Century Gothic" w:hAnsi="Century Gothic"/>
          <w:b/>
          <w:i w:val="0"/>
          <w:color w:val="07513A"/>
          <w:sz w:val="25"/>
        </w:rPr>
        <w:t>Procedimentos</w:t>
      </w:r>
    </w:p>
    <w:p>
      <w:pPr>
        <w:pStyle w:val="ListBullet"/>
        <w:spacing w:after="80" w:line="300" w:lineRule="auto"/>
      </w:pPr>
      <w:r>
        <w:rPr>
          <w:rFonts w:ascii="Century Gothic" w:hAnsi="Century Gothic"/>
          <w:b w:val="0"/>
          <w:i w:val="0"/>
          <w:color w:val="202020"/>
          <w:sz w:val="19"/>
        </w:rPr>
        <w:t>Identificar órgão, unidade, função 13, subfunção 392, programa, ação, natureza e fonte.</w:t>
      </w:r>
    </w:p>
    <w:p>
      <w:pPr>
        <w:pStyle w:val="ListBullet"/>
        <w:spacing w:after="80" w:line="300" w:lineRule="auto"/>
      </w:pPr>
      <w:r>
        <w:rPr>
          <w:rFonts w:ascii="Century Gothic" w:hAnsi="Century Gothic"/>
          <w:b w:val="0"/>
          <w:i w:val="0"/>
          <w:color w:val="202020"/>
          <w:sz w:val="19"/>
        </w:rPr>
        <w:t>Reconstituir dotação inicial + créditos adicionais − anulações = dotação atualizada.</w:t>
      </w:r>
    </w:p>
    <w:p>
      <w:pPr>
        <w:pStyle w:val="ListBullet"/>
        <w:spacing w:after="80" w:line="300" w:lineRule="auto"/>
      </w:pPr>
      <w:r>
        <w:rPr>
          <w:rFonts w:ascii="Century Gothic" w:hAnsi="Century Gothic"/>
          <w:b w:val="0"/>
          <w:i w:val="0"/>
          <w:color w:val="202020"/>
          <w:sz w:val="19"/>
        </w:rPr>
        <w:t>Confrontar dotação atualizada com o empenhado e verificar data, competência e autorização dos créditos.</w:t>
      </w:r>
    </w:p>
    <w:p>
      <w:pPr>
        <w:pStyle w:val="Heading2"/>
        <w:keepNext/>
      </w:pPr>
      <w:r>
        <w:rPr>
          <w:rFonts w:ascii="Century Gothic" w:hAnsi="Century Gothic"/>
          <w:b/>
          <w:i w:val="0"/>
          <w:color w:val="07513A"/>
          <w:sz w:val="25"/>
        </w:rPr>
        <w:t>Registro da conclusão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shd w:fill="EAF5EE"/>
            <w:vAlign w:val="center"/>
          </w:tcPr>
          <w:p>
            <w:pPr>
              <w:spacing w:after="0" w:line="276" w:lineRule="auto"/>
            </w:pPr>
            <w:r/>
            <w:r>
              <w:rPr>
                <w:rFonts w:ascii="Century Gothic" w:hAnsi="Century Gothic"/>
                <w:b/>
                <w:i w:val="0"/>
                <w:color w:val="07513A"/>
                <w:sz w:val="17"/>
              </w:rPr>
              <w:t>Resultado</w:t>
            </w:r>
          </w:p>
        </w:tc>
        <w:tc>
          <w:tcPr>
            <w:tcW w:type="dxa" w:w="6660"/>
            <w:shd w:fill="FFF2CC"/>
            <w:vAlign w:val="center"/>
          </w:tcPr>
          <w:p>
            <w:pPr>
              <w:spacing w:after="0" w:line="276" w:lineRule="auto"/>
            </w:pPr>
            <w:r/>
            <w:r>
              <w:rPr>
                <w:rFonts w:ascii="Century Gothic" w:hAnsi="Century Gothic"/>
                <w:b w:val="0"/>
                <w:i w:val="0"/>
                <w:color w:val="202020"/>
                <w:sz w:val="17"/>
              </w:rPr>
              <w:t>Selecionar: comprovado · não comprovado · indício · inconclusivo · não aplicável</w:t>
            </w:r>
          </w:p>
        </w:tc>
      </w:tr>
      <w:tr>
        <w:tc>
          <w:tcPr>
            <w:tcW w:type="dxa" w:w="2700"/>
            <w:shd w:fill="EAF5EE"/>
            <w:vAlign w:val="center"/>
          </w:tcPr>
          <w:p>
            <w:pPr>
              <w:spacing w:after="0" w:line="276" w:lineRule="auto"/>
            </w:pPr>
            <w:r/>
            <w:r>
              <w:rPr>
                <w:rFonts w:ascii="Century Gothic" w:hAnsi="Century Gothic"/>
                <w:b/>
                <w:i w:val="0"/>
                <w:color w:val="07513A"/>
                <w:sz w:val="17"/>
              </w:rPr>
              <w:t>Evidência-chave</w:t>
            </w:r>
          </w:p>
        </w:tc>
        <w:tc>
          <w:tcPr>
            <w:tcW w:type="dxa" w:w="6660"/>
            <w:shd w:fill="FFF2CC"/>
            <w:vAlign w:val="center"/>
          </w:tcPr>
          <w:p>
            <w:pPr>
              <w:spacing w:after="0" w:line="276" w:lineRule="auto"/>
            </w:pPr>
            <w:r/>
            <w:r>
              <w:rPr>
                <w:rFonts w:ascii="Century Gothic" w:hAnsi="Century Gothic"/>
                <w:b w:val="0"/>
                <w:i w:val="0"/>
                <w:color w:val="202020"/>
                <w:sz w:val="17"/>
              </w:rPr>
              <w:t>Indicar documento, página/linha, competência e data da coleta.</w:t>
            </w:r>
          </w:p>
        </w:tc>
      </w:tr>
      <w:tr>
        <w:tc>
          <w:tcPr>
            <w:tcW w:type="dxa" w:w="2700"/>
            <w:shd w:fill="EAF5EE"/>
            <w:vAlign w:val="center"/>
          </w:tcPr>
          <w:p>
            <w:pPr>
              <w:spacing w:after="0" w:line="276" w:lineRule="auto"/>
            </w:pPr>
            <w:r/>
            <w:r>
              <w:rPr>
                <w:rFonts w:ascii="Century Gothic" w:hAnsi="Century Gothic"/>
                <w:b/>
                <w:i w:val="0"/>
                <w:color w:val="07513A"/>
                <w:sz w:val="17"/>
              </w:rPr>
              <w:t>Resposta objetiva</w:t>
            </w:r>
          </w:p>
        </w:tc>
        <w:tc>
          <w:tcPr>
            <w:tcW w:type="dxa" w:w="6660"/>
            <w:shd w:fill="FFF2CC"/>
            <w:vAlign w:val="center"/>
          </w:tcPr>
          <w:p>
            <w:pPr>
              <w:spacing w:after="0" w:line="276" w:lineRule="auto"/>
            </w:pPr>
            <w:r/>
            <w:r>
              <w:rPr>
                <w:rFonts w:ascii="Century Gothic" w:hAnsi="Century Gothic"/>
                <w:b w:val="0"/>
                <w:i w:val="0"/>
                <w:color w:val="202020"/>
                <w:sz w:val="17"/>
              </w:rPr>
              <w:t>Redigir em até 180 palavras, iniciando pelo resultado e pela base numérica.</w:t>
            </w:r>
          </w:p>
        </w:tc>
      </w:tr>
      <w:tr>
        <w:tc>
          <w:tcPr>
            <w:tcW w:type="dxa" w:w="2700"/>
            <w:shd w:fill="EAF5EE"/>
            <w:vAlign w:val="center"/>
          </w:tcPr>
          <w:p>
            <w:pPr>
              <w:spacing w:after="0" w:line="276" w:lineRule="auto"/>
            </w:pPr>
            <w:r/>
            <w:r>
              <w:rPr>
                <w:rFonts w:ascii="Century Gothic" w:hAnsi="Century Gothic"/>
                <w:b/>
                <w:i w:val="0"/>
                <w:color w:val="07513A"/>
                <w:sz w:val="17"/>
              </w:rPr>
              <w:t>Limitação/diligência</w:t>
            </w:r>
          </w:p>
        </w:tc>
        <w:tc>
          <w:tcPr>
            <w:tcW w:type="dxa" w:w="6660"/>
            <w:shd w:fill="FFF2CC"/>
            <w:vAlign w:val="center"/>
          </w:tcPr>
          <w:p>
            <w:pPr>
              <w:spacing w:after="0" w:line="276" w:lineRule="auto"/>
            </w:pPr>
            <w:r/>
            <w:r>
              <w:rPr>
                <w:rFonts w:ascii="Century Gothic" w:hAnsi="Century Gothic"/>
                <w:b w:val="0"/>
                <w:i w:val="0"/>
                <w:color w:val="202020"/>
                <w:sz w:val="17"/>
              </w:rPr>
              <w:t>Indicar exatamente o documento faltante e o efeito sobre a conclusão.</w:t>
            </w:r>
          </w:p>
        </w:tc>
      </w:tr>
      <w:tr>
        <w:tc>
          <w:tcPr>
            <w:tcW w:type="dxa" w:w="2700"/>
            <w:shd w:fill="EAF5EE"/>
            <w:vAlign w:val="center"/>
          </w:tcPr>
          <w:p>
            <w:pPr>
              <w:spacing w:after="0" w:line="276" w:lineRule="auto"/>
            </w:pPr>
            <w:r/>
            <w:r>
              <w:rPr>
                <w:rFonts w:ascii="Century Gothic" w:hAnsi="Century Gothic"/>
                <w:b/>
                <w:i w:val="0"/>
                <w:color w:val="07513A"/>
                <w:sz w:val="17"/>
              </w:rPr>
              <w:t>Revisão</w:t>
            </w:r>
          </w:p>
        </w:tc>
        <w:tc>
          <w:tcPr>
            <w:tcW w:type="dxa" w:w="6660"/>
            <w:shd w:fill="FFF2CC"/>
            <w:vAlign w:val="center"/>
          </w:tcPr>
          <w:p>
            <w:pPr>
              <w:spacing w:after="0" w:line="276" w:lineRule="auto"/>
            </w:pPr>
            <w:r/>
            <w:r>
              <w:rPr>
                <w:rFonts w:ascii="Century Gothic" w:hAnsi="Century Gothic"/>
                <w:b w:val="0"/>
                <w:i w:val="0"/>
                <w:color w:val="202020"/>
                <w:sz w:val="17"/>
              </w:rPr>
              <w:t>Revisor, data e decisão sobre o texto final.</w:t>
            </w:r>
          </w:p>
        </w:tc>
      </w:tr>
    </w:tbl>
    <w:p>
      <w:pPr>
        <w:pageBreakBefore/>
        <w:spacing w:after="100"/>
      </w:pPr>
      <w:r>
        <w:rPr>
          <w:rFonts w:ascii="Century Gothic" w:hAnsi="Century Gothic"/>
          <w:b/>
          <w:i w:val="0"/>
          <w:color w:val="D8A928"/>
          <w:sz w:val="19"/>
        </w:rPr>
        <w:t>QF-02 · QUESITO 2</w:t>
      </w:r>
    </w:p>
    <w:p>
      <w:pPr>
        <w:keepNext/>
        <w:spacing w:after="200"/>
      </w:pPr>
      <w:r>
        <w:rPr>
          <w:rFonts w:ascii="Century Gothic" w:hAnsi="Century Gothic"/>
          <w:b/>
          <w:i w:val="0"/>
          <w:color w:val="07513A"/>
          <w:sz w:val="29"/>
        </w:rPr>
        <w:t>Há regularidade na execução orçamentária e financeira dos gastos realizados com os festejos juninos?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shd w:fill="07513A"/>
            <w:vAlign w:val="center"/>
          </w:tcPr>
          <w:p>
            <w:pPr>
              <w:spacing w:after="0" w:line="276" w:lineRule="auto"/>
            </w:pPr>
            <w:r/>
            <w:r>
              <w:rPr>
                <w:rFonts w:ascii="Century Gothic" w:hAnsi="Century Gothic"/>
                <w:b/>
                <w:i w:val="0"/>
                <w:color w:val="FFFFFF"/>
                <w:sz w:val="17"/>
              </w:rPr>
              <w:t>Objetivo do teste</w:t>
            </w:r>
          </w:p>
        </w:tc>
        <w:tc>
          <w:tcPr>
            <w:tcW w:type="dxa" w:w="6660"/>
            <w:shd w:fill="F4F7F5"/>
            <w:vAlign w:val="center"/>
          </w:tcPr>
          <w:p>
            <w:pPr>
              <w:spacing w:after="0" w:line="276" w:lineRule="auto"/>
            </w:pPr>
            <w:r/>
            <w:r>
              <w:rPr>
                <w:rFonts w:ascii="Century Gothic" w:hAnsi="Century Gothic"/>
                <w:b w:val="0"/>
                <w:i w:val="0"/>
                <w:color w:val="202020"/>
                <w:sz w:val="17"/>
              </w:rPr>
              <w:t>Testar o ciclo completo de cada despesa do evento.</w:t>
            </w:r>
          </w:p>
        </w:tc>
      </w:tr>
      <w:tr>
        <w:tc>
          <w:tcPr>
            <w:tcW w:type="dxa" w:w="2700"/>
            <w:shd w:fill="EAF5EE"/>
            <w:vAlign w:val="center"/>
          </w:tcPr>
          <w:p>
            <w:pPr>
              <w:spacing w:after="0" w:line="276" w:lineRule="auto"/>
            </w:pPr>
            <w:r/>
            <w:r>
              <w:rPr>
                <w:rFonts w:ascii="Century Gothic" w:hAnsi="Century Gothic"/>
                <w:b/>
                <w:i w:val="0"/>
                <w:color w:val="07513A"/>
                <w:sz w:val="17"/>
              </w:rPr>
              <w:t>Critério</w:t>
            </w:r>
          </w:p>
        </w:tc>
        <w:tc>
          <w:tcPr>
            <w:tcW w:type="dxa" w:w="6660"/>
            <w:shd w:fill="F4F7F5"/>
            <w:vAlign w:val="center"/>
          </w:tcPr>
          <w:p>
            <w:pPr>
              <w:spacing w:after="0" w:line="276" w:lineRule="auto"/>
            </w:pPr>
            <w:r/>
            <w:r>
              <w:rPr>
                <w:rFonts w:ascii="Century Gothic" w:hAnsi="Century Gothic"/>
                <w:b w:val="0"/>
                <w:i w:val="0"/>
                <w:color w:val="202020"/>
                <w:sz w:val="17"/>
              </w:rPr>
              <w:t>Lei nº 4.320/1964, arts. 58 a 65; MCASP; Lei nº 14.133/2021.</w:t>
            </w:r>
          </w:p>
        </w:tc>
      </w:tr>
      <w:tr>
        <w:tc>
          <w:tcPr>
            <w:tcW w:type="dxa" w:w="2700"/>
            <w:shd w:fill="EAF5EE"/>
            <w:vAlign w:val="center"/>
          </w:tcPr>
          <w:p>
            <w:pPr>
              <w:spacing w:after="0" w:line="276" w:lineRule="auto"/>
            </w:pPr>
            <w:r/>
            <w:r>
              <w:rPr>
                <w:rFonts w:ascii="Century Gothic" w:hAnsi="Century Gothic"/>
                <w:b/>
                <w:i w:val="0"/>
                <w:color w:val="07513A"/>
                <w:sz w:val="17"/>
              </w:rPr>
              <w:t>Evidências mínimas</w:t>
            </w:r>
          </w:p>
        </w:tc>
        <w:tc>
          <w:tcPr>
            <w:tcW w:type="dxa" w:w="6660"/>
            <w:shd w:fill="F4F7F5"/>
            <w:vAlign w:val="center"/>
          </w:tcPr>
          <w:p>
            <w:pPr>
              <w:spacing w:after="0" w:line="276" w:lineRule="auto"/>
            </w:pPr>
            <w:r/>
            <w:r>
              <w:rPr>
                <w:rFonts w:ascii="Century Gothic" w:hAnsi="Century Gothic"/>
                <w:b w:val="0"/>
                <w:i w:val="0"/>
                <w:color w:val="202020"/>
                <w:sz w:val="17"/>
              </w:rPr>
              <w:t>Painel Junino; processo/contrato; Consulta de Despesas/SIGA; PCMGE056; PCMGE015; notas fiscais, atestos, ordens bancárias, extratos e razão.</w:t>
            </w:r>
          </w:p>
        </w:tc>
      </w:tr>
      <w:tr>
        <w:tc>
          <w:tcPr>
            <w:tcW w:type="dxa" w:w="2700"/>
            <w:shd w:fill="EAF5EE"/>
            <w:vAlign w:val="center"/>
          </w:tcPr>
          <w:p>
            <w:pPr>
              <w:spacing w:after="0" w:line="276" w:lineRule="auto"/>
            </w:pPr>
            <w:r/>
            <w:r>
              <w:rPr>
                <w:rFonts w:ascii="Century Gothic" w:hAnsi="Century Gothic"/>
                <w:b/>
                <w:i w:val="0"/>
                <w:color w:val="07513A"/>
                <w:sz w:val="17"/>
              </w:rPr>
              <w:t>Memória de cálculo</w:t>
            </w:r>
          </w:p>
        </w:tc>
        <w:tc>
          <w:tcPr>
            <w:tcW w:type="dxa" w:w="6660"/>
            <w:shd w:fill="F4F7F5"/>
            <w:vAlign w:val="center"/>
          </w:tcPr>
          <w:p>
            <w:pPr>
              <w:spacing w:after="0" w:line="276" w:lineRule="auto"/>
            </w:pPr>
            <w:r/>
            <w:r>
              <w:rPr>
                <w:rFonts w:ascii="Century Gothic" w:hAnsi="Century Gothic"/>
                <w:b w:val="0"/>
                <w:i w:val="0"/>
                <w:color w:val="202020"/>
                <w:sz w:val="17"/>
              </w:rPr>
              <w:t>Empenho líquido = empenho bruto − anulações; saldo a liquidar = empenho líquido − liquidado; saldo a pagar = liquidado − pago. Nunca somar contratado, empenhado, liquidado e pago.</w:t>
            </w:r>
          </w:p>
        </w:tc>
      </w:tr>
      <w:tr>
        <w:tc>
          <w:tcPr>
            <w:tcW w:type="dxa" w:w="2700"/>
            <w:shd w:fill="EAF5EE"/>
            <w:vAlign w:val="center"/>
          </w:tcPr>
          <w:p>
            <w:pPr>
              <w:spacing w:after="0" w:line="276" w:lineRule="auto"/>
            </w:pPr>
            <w:r/>
            <w:r>
              <w:rPr>
                <w:rFonts w:ascii="Century Gothic" w:hAnsi="Century Gothic"/>
                <w:b/>
                <w:i w:val="0"/>
                <w:color w:val="07513A"/>
                <w:sz w:val="17"/>
              </w:rPr>
              <w:t>Produto da resposta</w:t>
            </w:r>
          </w:p>
        </w:tc>
        <w:tc>
          <w:tcPr>
            <w:tcW w:type="dxa" w:w="6660"/>
            <w:shd w:fill="F4F7F5"/>
            <w:vAlign w:val="center"/>
          </w:tcPr>
          <w:p>
            <w:pPr>
              <w:spacing w:after="0" w:line="276" w:lineRule="auto"/>
            </w:pPr>
            <w:r/>
            <w:r>
              <w:rPr>
                <w:rFonts w:ascii="Century Gothic" w:hAnsi="Century Gothic"/>
                <w:b w:val="0"/>
                <w:i w:val="0"/>
                <w:color w:val="202020"/>
                <w:sz w:val="17"/>
              </w:rPr>
              <w:t>Quadro por contrato e fase, controle com PCMGE015 e lista de exceções/diligências.</w:t>
            </w:r>
          </w:p>
        </w:tc>
      </w:tr>
      <w:tr>
        <w:tc>
          <w:tcPr>
            <w:tcW w:type="dxa" w:w="2700"/>
            <w:shd w:fill="EAF5EE"/>
            <w:vAlign w:val="center"/>
          </w:tcPr>
          <w:p>
            <w:pPr>
              <w:spacing w:after="0" w:line="276" w:lineRule="auto"/>
            </w:pPr>
            <w:r/>
            <w:r>
              <w:rPr>
                <w:rFonts w:ascii="Century Gothic" w:hAnsi="Century Gothic"/>
                <w:b/>
                <w:i w:val="0"/>
                <w:color w:val="07513A"/>
                <w:sz w:val="17"/>
              </w:rPr>
              <w:t>Cautela</w:t>
            </w:r>
          </w:p>
        </w:tc>
        <w:tc>
          <w:tcPr>
            <w:tcW w:type="dxa" w:w="6660"/>
            <w:shd w:fill="FFF2CC"/>
            <w:vAlign w:val="center"/>
          </w:tcPr>
          <w:p>
            <w:pPr>
              <w:spacing w:after="0" w:line="276" w:lineRule="auto"/>
            </w:pPr>
            <w:r/>
            <w:r>
              <w:rPr>
                <w:rFonts w:ascii="Century Gothic" w:hAnsi="Century Gothic"/>
                <w:b w:val="0"/>
                <w:i w:val="0"/>
                <w:color w:val="202020"/>
                <w:sz w:val="17"/>
              </w:rPr>
              <w:t>Diferença entre bases ou fases é preliminar; deve ser reconciliada antes de ser qualificada como irregularidade ou dano.</w:t>
            </w:r>
          </w:p>
        </w:tc>
      </w:tr>
    </w:tbl>
    <w:p>
      <w:pPr>
        <w:pStyle w:val="Heading2"/>
        <w:keepNext/>
      </w:pPr>
      <w:r>
        <w:rPr>
          <w:rFonts w:ascii="Century Gothic" w:hAnsi="Century Gothic"/>
          <w:b/>
          <w:i w:val="0"/>
          <w:color w:val="07513A"/>
          <w:sz w:val="25"/>
        </w:rPr>
        <w:t>Procedimentos</w:t>
      </w:r>
    </w:p>
    <w:p>
      <w:pPr>
        <w:pStyle w:val="ListBullet"/>
        <w:spacing w:after="80" w:line="300" w:lineRule="auto"/>
      </w:pPr>
      <w:r>
        <w:rPr>
          <w:rFonts w:ascii="Century Gothic" w:hAnsi="Century Gothic"/>
          <w:b w:val="0"/>
          <w:i w:val="0"/>
          <w:color w:val="202020"/>
          <w:sz w:val="19"/>
        </w:rPr>
        <w:t>Relacionar cada contrato ao empenho, à liquidação e ao pagamento.</w:t>
      </w:r>
    </w:p>
    <w:p>
      <w:pPr>
        <w:pStyle w:val="ListBullet"/>
        <w:spacing w:after="80" w:line="300" w:lineRule="auto"/>
      </w:pPr>
      <w:r>
        <w:rPr>
          <w:rFonts w:ascii="Century Gothic" w:hAnsi="Century Gothic"/>
          <w:b w:val="0"/>
          <w:i w:val="0"/>
          <w:color w:val="202020"/>
          <w:sz w:val="19"/>
        </w:rPr>
        <w:t>Validar o significado da coluna genérica 'valor' antes de atribuir estágio.</w:t>
      </w:r>
    </w:p>
    <w:p>
      <w:pPr>
        <w:pStyle w:val="ListBullet"/>
        <w:spacing w:after="80" w:line="300" w:lineRule="auto"/>
      </w:pPr>
      <w:r>
        <w:rPr>
          <w:rFonts w:ascii="Century Gothic" w:hAnsi="Century Gothic"/>
          <w:b w:val="0"/>
          <w:i w:val="0"/>
          <w:color w:val="202020"/>
          <w:sz w:val="19"/>
        </w:rPr>
        <w:t>Conferir objeto, credor, valor, datas, fonte e classificação; usar 3.3.90.39.94 como busca principal e o 99 somente com vínculo documental.</w:t>
      </w:r>
    </w:p>
    <w:p>
      <w:pPr>
        <w:pStyle w:val="Heading2"/>
        <w:keepNext/>
      </w:pPr>
      <w:r>
        <w:rPr>
          <w:rFonts w:ascii="Century Gothic" w:hAnsi="Century Gothic"/>
          <w:b/>
          <w:i w:val="0"/>
          <w:color w:val="07513A"/>
          <w:sz w:val="25"/>
        </w:rPr>
        <w:t>Registro da conclusão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shd w:fill="EAF5EE"/>
            <w:vAlign w:val="center"/>
          </w:tcPr>
          <w:p>
            <w:pPr>
              <w:spacing w:after="0" w:line="276" w:lineRule="auto"/>
            </w:pPr>
            <w:r/>
            <w:r>
              <w:rPr>
                <w:rFonts w:ascii="Century Gothic" w:hAnsi="Century Gothic"/>
                <w:b/>
                <w:i w:val="0"/>
                <w:color w:val="07513A"/>
                <w:sz w:val="17"/>
              </w:rPr>
              <w:t>Resultado</w:t>
            </w:r>
          </w:p>
        </w:tc>
        <w:tc>
          <w:tcPr>
            <w:tcW w:type="dxa" w:w="6660"/>
            <w:shd w:fill="FFF2CC"/>
            <w:vAlign w:val="center"/>
          </w:tcPr>
          <w:p>
            <w:pPr>
              <w:spacing w:after="0" w:line="276" w:lineRule="auto"/>
            </w:pPr>
            <w:r/>
            <w:r>
              <w:rPr>
                <w:rFonts w:ascii="Century Gothic" w:hAnsi="Century Gothic"/>
                <w:b w:val="0"/>
                <w:i w:val="0"/>
                <w:color w:val="202020"/>
                <w:sz w:val="17"/>
              </w:rPr>
              <w:t>Selecionar: comprovado · não comprovado · indício · inconclusivo · não aplicável</w:t>
            </w:r>
          </w:p>
        </w:tc>
      </w:tr>
      <w:tr>
        <w:tc>
          <w:tcPr>
            <w:tcW w:type="dxa" w:w="2700"/>
            <w:shd w:fill="EAF5EE"/>
            <w:vAlign w:val="center"/>
          </w:tcPr>
          <w:p>
            <w:pPr>
              <w:spacing w:after="0" w:line="276" w:lineRule="auto"/>
            </w:pPr>
            <w:r/>
            <w:r>
              <w:rPr>
                <w:rFonts w:ascii="Century Gothic" w:hAnsi="Century Gothic"/>
                <w:b/>
                <w:i w:val="0"/>
                <w:color w:val="07513A"/>
                <w:sz w:val="17"/>
              </w:rPr>
              <w:t>Evidência-chave</w:t>
            </w:r>
          </w:p>
        </w:tc>
        <w:tc>
          <w:tcPr>
            <w:tcW w:type="dxa" w:w="6660"/>
            <w:shd w:fill="FFF2CC"/>
            <w:vAlign w:val="center"/>
          </w:tcPr>
          <w:p>
            <w:pPr>
              <w:spacing w:after="0" w:line="276" w:lineRule="auto"/>
            </w:pPr>
            <w:r/>
            <w:r>
              <w:rPr>
                <w:rFonts w:ascii="Century Gothic" w:hAnsi="Century Gothic"/>
                <w:b w:val="0"/>
                <w:i w:val="0"/>
                <w:color w:val="202020"/>
                <w:sz w:val="17"/>
              </w:rPr>
              <w:t>Indicar documento, página/linha, competência e data da coleta.</w:t>
            </w:r>
          </w:p>
        </w:tc>
      </w:tr>
      <w:tr>
        <w:tc>
          <w:tcPr>
            <w:tcW w:type="dxa" w:w="2700"/>
            <w:shd w:fill="EAF5EE"/>
            <w:vAlign w:val="center"/>
          </w:tcPr>
          <w:p>
            <w:pPr>
              <w:spacing w:after="0" w:line="276" w:lineRule="auto"/>
            </w:pPr>
            <w:r/>
            <w:r>
              <w:rPr>
                <w:rFonts w:ascii="Century Gothic" w:hAnsi="Century Gothic"/>
                <w:b/>
                <w:i w:val="0"/>
                <w:color w:val="07513A"/>
                <w:sz w:val="17"/>
              </w:rPr>
              <w:t>Resposta objetiva</w:t>
            </w:r>
          </w:p>
        </w:tc>
        <w:tc>
          <w:tcPr>
            <w:tcW w:type="dxa" w:w="6660"/>
            <w:shd w:fill="FFF2CC"/>
            <w:vAlign w:val="center"/>
          </w:tcPr>
          <w:p>
            <w:pPr>
              <w:spacing w:after="0" w:line="276" w:lineRule="auto"/>
            </w:pPr>
            <w:r/>
            <w:r>
              <w:rPr>
                <w:rFonts w:ascii="Century Gothic" w:hAnsi="Century Gothic"/>
                <w:b w:val="0"/>
                <w:i w:val="0"/>
                <w:color w:val="202020"/>
                <w:sz w:val="17"/>
              </w:rPr>
              <w:t>Redigir em até 180 palavras, iniciando pelo resultado e pela base numérica.</w:t>
            </w:r>
          </w:p>
        </w:tc>
      </w:tr>
      <w:tr>
        <w:tc>
          <w:tcPr>
            <w:tcW w:type="dxa" w:w="2700"/>
            <w:shd w:fill="EAF5EE"/>
            <w:vAlign w:val="center"/>
          </w:tcPr>
          <w:p>
            <w:pPr>
              <w:spacing w:after="0" w:line="276" w:lineRule="auto"/>
            </w:pPr>
            <w:r/>
            <w:r>
              <w:rPr>
                <w:rFonts w:ascii="Century Gothic" w:hAnsi="Century Gothic"/>
                <w:b/>
                <w:i w:val="0"/>
                <w:color w:val="07513A"/>
                <w:sz w:val="17"/>
              </w:rPr>
              <w:t>Limitação/diligência</w:t>
            </w:r>
          </w:p>
        </w:tc>
        <w:tc>
          <w:tcPr>
            <w:tcW w:type="dxa" w:w="6660"/>
            <w:shd w:fill="FFF2CC"/>
            <w:vAlign w:val="center"/>
          </w:tcPr>
          <w:p>
            <w:pPr>
              <w:spacing w:after="0" w:line="276" w:lineRule="auto"/>
            </w:pPr>
            <w:r/>
            <w:r>
              <w:rPr>
                <w:rFonts w:ascii="Century Gothic" w:hAnsi="Century Gothic"/>
                <w:b w:val="0"/>
                <w:i w:val="0"/>
                <w:color w:val="202020"/>
                <w:sz w:val="17"/>
              </w:rPr>
              <w:t>Indicar exatamente o documento faltante e o efeito sobre a conclusão.</w:t>
            </w:r>
          </w:p>
        </w:tc>
      </w:tr>
      <w:tr>
        <w:tc>
          <w:tcPr>
            <w:tcW w:type="dxa" w:w="2700"/>
            <w:shd w:fill="EAF5EE"/>
            <w:vAlign w:val="center"/>
          </w:tcPr>
          <w:p>
            <w:pPr>
              <w:spacing w:after="0" w:line="276" w:lineRule="auto"/>
            </w:pPr>
            <w:r/>
            <w:r>
              <w:rPr>
                <w:rFonts w:ascii="Century Gothic" w:hAnsi="Century Gothic"/>
                <w:b/>
                <w:i w:val="0"/>
                <w:color w:val="07513A"/>
                <w:sz w:val="17"/>
              </w:rPr>
              <w:t>Revisão</w:t>
            </w:r>
          </w:p>
        </w:tc>
        <w:tc>
          <w:tcPr>
            <w:tcW w:type="dxa" w:w="6660"/>
            <w:shd w:fill="FFF2CC"/>
            <w:vAlign w:val="center"/>
          </w:tcPr>
          <w:p>
            <w:pPr>
              <w:spacing w:after="0" w:line="276" w:lineRule="auto"/>
            </w:pPr>
            <w:r/>
            <w:r>
              <w:rPr>
                <w:rFonts w:ascii="Century Gothic" w:hAnsi="Century Gothic"/>
                <w:b w:val="0"/>
                <w:i w:val="0"/>
                <w:color w:val="202020"/>
                <w:sz w:val="17"/>
              </w:rPr>
              <w:t>Revisor, data e decisão sobre o texto final.</w:t>
            </w:r>
          </w:p>
        </w:tc>
      </w:tr>
    </w:tbl>
    <w:p>
      <w:pPr>
        <w:pageBreakBefore/>
        <w:spacing w:after="100"/>
      </w:pPr>
      <w:r>
        <w:rPr>
          <w:rFonts w:ascii="Century Gothic" w:hAnsi="Century Gothic"/>
          <w:b/>
          <w:i w:val="0"/>
          <w:color w:val="D8A928"/>
          <w:sz w:val="19"/>
        </w:rPr>
        <w:t>QF-03 · QUESITO 3</w:t>
      </w:r>
    </w:p>
    <w:p>
      <w:pPr>
        <w:keepNext/>
        <w:spacing w:after="200"/>
      </w:pPr>
      <w:r>
        <w:rPr>
          <w:rFonts w:ascii="Century Gothic" w:hAnsi="Century Gothic"/>
          <w:b/>
          <w:i w:val="0"/>
          <w:color w:val="07513A"/>
          <w:sz w:val="29"/>
        </w:rPr>
        <w:t>O montante de gastos dispendido está compatível com a capacidade financeira do Município, considerando o decreto de emergência vigente?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shd w:fill="07513A"/>
            <w:vAlign w:val="center"/>
          </w:tcPr>
          <w:p>
            <w:pPr>
              <w:spacing w:after="0" w:line="276" w:lineRule="auto"/>
            </w:pPr>
            <w:r/>
            <w:r>
              <w:rPr>
                <w:rFonts w:ascii="Century Gothic" w:hAnsi="Century Gothic"/>
                <w:b/>
                <w:i w:val="0"/>
                <w:color w:val="FFFFFF"/>
                <w:sz w:val="17"/>
              </w:rPr>
              <w:t>Objetivo do teste</w:t>
            </w:r>
          </w:p>
        </w:tc>
        <w:tc>
          <w:tcPr>
            <w:tcW w:type="dxa" w:w="6660"/>
            <w:shd w:fill="F4F7F5"/>
            <w:vAlign w:val="center"/>
          </w:tcPr>
          <w:p>
            <w:pPr>
              <w:spacing w:after="0" w:line="276" w:lineRule="auto"/>
            </w:pPr>
            <w:r/>
            <w:r>
              <w:rPr>
                <w:rFonts w:ascii="Century Gothic" w:hAnsi="Century Gothic"/>
                <w:b w:val="0"/>
                <w:i w:val="0"/>
                <w:color w:val="202020"/>
                <w:sz w:val="17"/>
              </w:rPr>
              <w:t>Avaliar materialidade e capacidade fiscal no contexto da emergência.</w:t>
            </w:r>
          </w:p>
        </w:tc>
      </w:tr>
      <w:tr>
        <w:tc>
          <w:tcPr>
            <w:tcW w:type="dxa" w:w="2700"/>
            <w:shd w:fill="EAF5EE"/>
            <w:vAlign w:val="center"/>
          </w:tcPr>
          <w:p>
            <w:pPr>
              <w:spacing w:after="0" w:line="276" w:lineRule="auto"/>
            </w:pPr>
            <w:r/>
            <w:r>
              <w:rPr>
                <w:rFonts w:ascii="Century Gothic" w:hAnsi="Century Gothic"/>
                <w:b/>
                <w:i w:val="0"/>
                <w:color w:val="07513A"/>
                <w:sz w:val="17"/>
              </w:rPr>
              <w:t>Critério</w:t>
            </w:r>
          </w:p>
        </w:tc>
        <w:tc>
          <w:tcPr>
            <w:tcW w:type="dxa" w:w="6660"/>
            <w:shd w:fill="F4F7F5"/>
            <w:vAlign w:val="center"/>
          </w:tcPr>
          <w:p>
            <w:pPr>
              <w:spacing w:after="0" w:line="276" w:lineRule="auto"/>
            </w:pPr>
            <w:r/>
            <w:r>
              <w:rPr>
                <w:rFonts w:ascii="Century Gothic" w:hAnsi="Century Gothic"/>
                <w:b w:val="0"/>
                <w:i w:val="0"/>
                <w:color w:val="202020"/>
                <w:sz w:val="17"/>
              </w:rPr>
              <w:t>LRF; MDF; Nota Técnica Conjunta nº 01/2026; decreto de emergência e atos correlatos.</w:t>
            </w:r>
          </w:p>
        </w:tc>
      </w:tr>
      <w:tr>
        <w:tc>
          <w:tcPr>
            <w:tcW w:type="dxa" w:w="2700"/>
            <w:shd w:fill="EAF5EE"/>
            <w:vAlign w:val="center"/>
          </w:tcPr>
          <w:p>
            <w:pPr>
              <w:spacing w:after="0" w:line="276" w:lineRule="auto"/>
            </w:pPr>
            <w:r/>
            <w:r>
              <w:rPr>
                <w:rFonts w:ascii="Century Gothic" w:hAnsi="Century Gothic"/>
                <w:b/>
                <w:i w:val="0"/>
                <w:color w:val="07513A"/>
                <w:sz w:val="17"/>
              </w:rPr>
              <w:t>Evidências mínimas</w:t>
            </w:r>
          </w:p>
        </w:tc>
        <w:tc>
          <w:tcPr>
            <w:tcW w:type="dxa" w:w="6660"/>
            <w:shd w:fill="F4F7F5"/>
            <w:vAlign w:val="center"/>
          </w:tcPr>
          <w:p>
            <w:pPr>
              <w:spacing w:after="0" w:line="276" w:lineRule="auto"/>
            </w:pPr>
            <w:r/>
            <w:r>
              <w:rPr>
                <w:rFonts w:ascii="Century Gothic" w:hAnsi="Century Gothic"/>
                <w:b w:val="0"/>
                <w:i w:val="0"/>
                <w:color w:val="202020"/>
                <w:sz w:val="17"/>
              </w:rPr>
              <w:t>RREO, RGF, RCL, caixa por fonte, restos a pagar, folha, obrigações essenciais, decreto, plano de resposta e execução de ações emergenciais.</w:t>
            </w:r>
          </w:p>
        </w:tc>
      </w:tr>
      <w:tr>
        <w:tc>
          <w:tcPr>
            <w:tcW w:type="dxa" w:w="2700"/>
            <w:shd w:fill="EAF5EE"/>
            <w:vAlign w:val="center"/>
          </w:tcPr>
          <w:p>
            <w:pPr>
              <w:spacing w:after="0" w:line="276" w:lineRule="auto"/>
            </w:pPr>
            <w:r/>
            <w:r>
              <w:rPr>
                <w:rFonts w:ascii="Century Gothic" w:hAnsi="Century Gothic"/>
                <w:b/>
                <w:i w:val="0"/>
                <w:color w:val="07513A"/>
                <w:sz w:val="17"/>
              </w:rPr>
              <w:t>Memória de cálculo</w:t>
            </w:r>
          </w:p>
        </w:tc>
        <w:tc>
          <w:tcPr>
            <w:tcW w:type="dxa" w:w="6660"/>
            <w:shd w:fill="F4F7F5"/>
            <w:vAlign w:val="center"/>
          </w:tcPr>
          <w:p>
            <w:pPr>
              <w:spacing w:after="0" w:line="276" w:lineRule="auto"/>
            </w:pPr>
            <w:r/>
            <w:r>
              <w:rPr>
                <w:rFonts w:ascii="Century Gothic" w:hAnsi="Century Gothic"/>
                <w:b w:val="0"/>
                <w:i w:val="0"/>
                <w:color w:val="202020"/>
                <w:sz w:val="17"/>
              </w:rPr>
              <w:t>Materialidade = gasto do evento ÷ RCL; peso orçamentário = gasto do evento ÷ despesa executada total.</w:t>
            </w:r>
          </w:p>
        </w:tc>
      </w:tr>
      <w:tr>
        <w:tc>
          <w:tcPr>
            <w:tcW w:type="dxa" w:w="2700"/>
            <w:shd w:fill="EAF5EE"/>
            <w:vAlign w:val="center"/>
          </w:tcPr>
          <w:p>
            <w:pPr>
              <w:spacing w:after="0" w:line="276" w:lineRule="auto"/>
            </w:pPr>
            <w:r/>
            <w:r>
              <w:rPr>
                <w:rFonts w:ascii="Century Gothic" w:hAnsi="Century Gothic"/>
                <w:b/>
                <w:i w:val="0"/>
                <w:color w:val="07513A"/>
                <w:sz w:val="17"/>
              </w:rPr>
              <w:t>Produto da resposta</w:t>
            </w:r>
          </w:p>
        </w:tc>
        <w:tc>
          <w:tcPr>
            <w:tcW w:type="dxa" w:w="6660"/>
            <w:shd w:fill="F4F7F5"/>
            <w:vAlign w:val="center"/>
          </w:tcPr>
          <w:p>
            <w:pPr>
              <w:spacing w:after="0" w:line="276" w:lineRule="auto"/>
            </w:pPr>
            <w:r/>
            <w:r>
              <w:rPr>
                <w:rFonts w:ascii="Century Gothic" w:hAnsi="Century Gothic"/>
                <w:b w:val="0"/>
                <w:i w:val="0"/>
                <w:color w:val="202020"/>
                <w:sz w:val="17"/>
              </w:rPr>
              <w:t>Apresentar indicadores, contexto, limitações e conclusão técnica sobre compatibilidade, sem juízo político.</w:t>
            </w:r>
          </w:p>
        </w:tc>
      </w:tr>
      <w:tr>
        <w:tc>
          <w:tcPr>
            <w:tcW w:type="dxa" w:w="2700"/>
            <w:shd w:fill="EAF5EE"/>
            <w:vAlign w:val="center"/>
          </w:tcPr>
          <w:p>
            <w:pPr>
              <w:spacing w:after="0" w:line="276" w:lineRule="auto"/>
            </w:pPr>
            <w:r/>
            <w:r>
              <w:rPr>
                <w:rFonts w:ascii="Century Gothic" w:hAnsi="Century Gothic"/>
                <w:b/>
                <w:i w:val="0"/>
                <w:color w:val="07513A"/>
                <w:sz w:val="17"/>
              </w:rPr>
              <w:t>Cautela</w:t>
            </w:r>
          </w:p>
        </w:tc>
        <w:tc>
          <w:tcPr>
            <w:tcW w:type="dxa" w:w="6660"/>
            <w:shd w:fill="FFF2CC"/>
            <w:vAlign w:val="center"/>
          </w:tcPr>
          <w:p>
            <w:pPr>
              <w:spacing w:after="0" w:line="276" w:lineRule="auto"/>
            </w:pPr>
            <w:r/>
            <w:r>
              <w:rPr>
                <w:rFonts w:ascii="Century Gothic" w:hAnsi="Century Gothic"/>
                <w:b w:val="0"/>
                <w:i w:val="0"/>
                <w:color w:val="202020"/>
                <w:sz w:val="17"/>
              </w:rPr>
              <w:t>A existência de emergência não torna o gasto automaticamente irregular; exige análise de capacidade, prioridade legal e evidências do caso.</w:t>
            </w:r>
          </w:p>
        </w:tc>
      </w:tr>
    </w:tbl>
    <w:p>
      <w:pPr>
        <w:pStyle w:val="Heading2"/>
        <w:keepNext/>
      </w:pPr>
      <w:r>
        <w:rPr>
          <w:rFonts w:ascii="Century Gothic" w:hAnsi="Century Gothic"/>
          <w:b/>
          <w:i w:val="0"/>
          <w:color w:val="07513A"/>
          <w:sz w:val="25"/>
        </w:rPr>
        <w:t>Procedimentos</w:t>
      </w:r>
    </w:p>
    <w:p>
      <w:pPr>
        <w:pStyle w:val="ListBullet"/>
        <w:spacing w:after="80" w:line="300" w:lineRule="auto"/>
      </w:pPr>
      <w:r>
        <w:rPr>
          <w:rFonts w:ascii="Century Gothic" w:hAnsi="Century Gothic"/>
          <w:b w:val="0"/>
          <w:i w:val="0"/>
          <w:color w:val="202020"/>
          <w:sz w:val="19"/>
        </w:rPr>
        <w:t>Confirmar vigência, objeto e abrangência do decreto.</w:t>
      </w:r>
    </w:p>
    <w:p>
      <w:pPr>
        <w:pStyle w:val="ListBullet"/>
        <w:spacing w:after="80" w:line="300" w:lineRule="auto"/>
      </w:pPr>
      <w:r>
        <w:rPr>
          <w:rFonts w:ascii="Century Gothic" w:hAnsi="Century Gothic"/>
          <w:b w:val="0"/>
          <w:i w:val="0"/>
          <w:color w:val="202020"/>
          <w:sz w:val="19"/>
        </w:rPr>
        <w:t>Calcular gasto do evento/RCL e gasto do evento/despesa total.</w:t>
      </w:r>
    </w:p>
    <w:p>
      <w:pPr>
        <w:pStyle w:val="ListBullet"/>
        <w:spacing w:after="80" w:line="300" w:lineRule="auto"/>
      </w:pPr>
      <w:r>
        <w:rPr>
          <w:rFonts w:ascii="Century Gothic" w:hAnsi="Century Gothic"/>
          <w:b w:val="0"/>
          <w:i w:val="0"/>
          <w:color w:val="202020"/>
          <w:sz w:val="19"/>
        </w:rPr>
        <w:t>Examinar liquidez, atrasos, obrigações essenciais e execução das ações de emergência.</w:t>
      </w:r>
    </w:p>
    <w:p>
      <w:pPr>
        <w:pStyle w:val="Heading2"/>
        <w:keepNext/>
      </w:pPr>
      <w:r>
        <w:rPr>
          <w:rFonts w:ascii="Century Gothic" w:hAnsi="Century Gothic"/>
          <w:b/>
          <w:i w:val="0"/>
          <w:color w:val="07513A"/>
          <w:sz w:val="25"/>
        </w:rPr>
        <w:t>Registro da conclusão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shd w:fill="EAF5EE"/>
            <w:vAlign w:val="center"/>
          </w:tcPr>
          <w:p>
            <w:pPr>
              <w:spacing w:after="0" w:line="276" w:lineRule="auto"/>
            </w:pPr>
            <w:r/>
            <w:r>
              <w:rPr>
                <w:rFonts w:ascii="Century Gothic" w:hAnsi="Century Gothic"/>
                <w:b/>
                <w:i w:val="0"/>
                <w:color w:val="07513A"/>
                <w:sz w:val="17"/>
              </w:rPr>
              <w:t>Resultado</w:t>
            </w:r>
          </w:p>
        </w:tc>
        <w:tc>
          <w:tcPr>
            <w:tcW w:type="dxa" w:w="6660"/>
            <w:shd w:fill="FFF2CC"/>
            <w:vAlign w:val="center"/>
          </w:tcPr>
          <w:p>
            <w:pPr>
              <w:spacing w:after="0" w:line="276" w:lineRule="auto"/>
            </w:pPr>
            <w:r/>
            <w:r>
              <w:rPr>
                <w:rFonts w:ascii="Century Gothic" w:hAnsi="Century Gothic"/>
                <w:b w:val="0"/>
                <w:i w:val="0"/>
                <w:color w:val="202020"/>
                <w:sz w:val="17"/>
              </w:rPr>
              <w:t>Selecionar: comprovado · não comprovado · indício · inconclusivo · não aplicável</w:t>
            </w:r>
          </w:p>
        </w:tc>
      </w:tr>
      <w:tr>
        <w:tc>
          <w:tcPr>
            <w:tcW w:type="dxa" w:w="2700"/>
            <w:shd w:fill="EAF5EE"/>
            <w:vAlign w:val="center"/>
          </w:tcPr>
          <w:p>
            <w:pPr>
              <w:spacing w:after="0" w:line="276" w:lineRule="auto"/>
            </w:pPr>
            <w:r/>
            <w:r>
              <w:rPr>
                <w:rFonts w:ascii="Century Gothic" w:hAnsi="Century Gothic"/>
                <w:b/>
                <w:i w:val="0"/>
                <w:color w:val="07513A"/>
                <w:sz w:val="17"/>
              </w:rPr>
              <w:t>Evidência-chave</w:t>
            </w:r>
          </w:p>
        </w:tc>
        <w:tc>
          <w:tcPr>
            <w:tcW w:type="dxa" w:w="6660"/>
            <w:shd w:fill="FFF2CC"/>
            <w:vAlign w:val="center"/>
          </w:tcPr>
          <w:p>
            <w:pPr>
              <w:spacing w:after="0" w:line="276" w:lineRule="auto"/>
            </w:pPr>
            <w:r/>
            <w:r>
              <w:rPr>
                <w:rFonts w:ascii="Century Gothic" w:hAnsi="Century Gothic"/>
                <w:b w:val="0"/>
                <w:i w:val="0"/>
                <w:color w:val="202020"/>
                <w:sz w:val="17"/>
              </w:rPr>
              <w:t>Indicar documento, página/linha, competência e data da coleta.</w:t>
            </w:r>
          </w:p>
        </w:tc>
      </w:tr>
      <w:tr>
        <w:tc>
          <w:tcPr>
            <w:tcW w:type="dxa" w:w="2700"/>
            <w:shd w:fill="EAF5EE"/>
            <w:vAlign w:val="center"/>
          </w:tcPr>
          <w:p>
            <w:pPr>
              <w:spacing w:after="0" w:line="276" w:lineRule="auto"/>
            </w:pPr>
            <w:r/>
            <w:r>
              <w:rPr>
                <w:rFonts w:ascii="Century Gothic" w:hAnsi="Century Gothic"/>
                <w:b/>
                <w:i w:val="0"/>
                <w:color w:val="07513A"/>
                <w:sz w:val="17"/>
              </w:rPr>
              <w:t>Resposta objetiva</w:t>
            </w:r>
          </w:p>
        </w:tc>
        <w:tc>
          <w:tcPr>
            <w:tcW w:type="dxa" w:w="6660"/>
            <w:shd w:fill="FFF2CC"/>
            <w:vAlign w:val="center"/>
          </w:tcPr>
          <w:p>
            <w:pPr>
              <w:spacing w:after="0" w:line="276" w:lineRule="auto"/>
            </w:pPr>
            <w:r/>
            <w:r>
              <w:rPr>
                <w:rFonts w:ascii="Century Gothic" w:hAnsi="Century Gothic"/>
                <w:b w:val="0"/>
                <w:i w:val="0"/>
                <w:color w:val="202020"/>
                <w:sz w:val="17"/>
              </w:rPr>
              <w:t>Redigir em até 180 palavras, iniciando pelo resultado e pela base numérica.</w:t>
            </w:r>
          </w:p>
        </w:tc>
      </w:tr>
      <w:tr>
        <w:tc>
          <w:tcPr>
            <w:tcW w:type="dxa" w:w="2700"/>
            <w:shd w:fill="EAF5EE"/>
            <w:vAlign w:val="center"/>
          </w:tcPr>
          <w:p>
            <w:pPr>
              <w:spacing w:after="0" w:line="276" w:lineRule="auto"/>
            </w:pPr>
            <w:r/>
            <w:r>
              <w:rPr>
                <w:rFonts w:ascii="Century Gothic" w:hAnsi="Century Gothic"/>
                <w:b/>
                <w:i w:val="0"/>
                <w:color w:val="07513A"/>
                <w:sz w:val="17"/>
              </w:rPr>
              <w:t>Limitação/diligência</w:t>
            </w:r>
          </w:p>
        </w:tc>
        <w:tc>
          <w:tcPr>
            <w:tcW w:type="dxa" w:w="6660"/>
            <w:shd w:fill="FFF2CC"/>
            <w:vAlign w:val="center"/>
          </w:tcPr>
          <w:p>
            <w:pPr>
              <w:spacing w:after="0" w:line="276" w:lineRule="auto"/>
            </w:pPr>
            <w:r/>
            <w:r>
              <w:rPr>
                <w:rFonts w:ascii="Century Gothic" w:hAnsi="Century Gothic"/>
                <w:b w:val="0"/>
                <w:i w:val="0"/>
                <w:color w:val="202020"/>
                <w:sz w:val="17"/>
              </w:rPr>
              <w:t>Indicar exatamente o documento faltante e o efeito sobre a conclusão.</w:t>
            </w:r>
          </w:p>
        </w:tc>
      </w:tr>
      <w:tr>
        <w:tc>
          <w:tcPr>
            <w:tcW w:type="dxa" w:w="2700"/>
            <w:shd w:fill="EAF5EE"/>
            <w:vAlign w:val="center"/>
          </w:tcPr>
          <w:p>
            <w:pPr>
              <w:spacing w:after="0" w:line="276" w:lineRule="auto"/>
            </w:pPr>
            <w:r/>
            <w:r>
              <w:rPr>
                <w:rFonts w:ascii="Century Gothic" w:hAnsi="Century Gothic"/>
                <w:b/>
                <w:i w:val="0"/>
                <w:color w:val="07513A"/>
                <w:sz w:val="17"/>
              </w:rPr>
              <w:t>Revisão</w:t>
            </w:r>
          </w:p>
        </w:tc>
        <w:tc>
          <w:tcPr>
            <w:tcW w:type="dxa" w:w="6660"/>
            <w:shd w:fill="FFF2CC"/>
            <w:vAlign w:val="center"/>
          </w:tcPr>
          <w:p>
            <w:pPr>
              <w:spacing w:after="0" w:line="276" w:lineRule="auto"/>
            </w:pPr>
            <w:r/>
            <w:r>
              <w:rPr>
                <w:rFonts w:ascii="Century Gothic" w:hAnsi="Century Gothic"/>
                <w:b w:val="0"/>
                <w:i w:val="0"/>
                <w:color w:val="202020"/>
                <w:sz w:val="17"/>
              </w:rPr>
              <w:t>Revisor, data e decisão sobre o texto final.</w:t>
            </w:r>
          </w:p>
        </w:tc>
      </w:tr>
    </w:tbl>
    <w:p>
      <w:pPr>
        <w:pageBreakBefore/>
        <w:spacing w:after="100"/>
      </w:pPr>
      <w:r>
        <w:rPr>
          <w:rFonts w:ascii="Century Gothic" w:hAnsi="Century Gothic"/>
          <w:b/>
          <w:i w:val="0"/>
          <w:color w:val="D8A928"/>
          <w:sz w:val="19"/>
        </w:rPr>
        <w:t>QF-04 · QUESITO 4</w:t>
      </w:r>
    </w:p>
    <w:p>
      <w:pPr>
        <w:keepNext/>
        <w:spacing w:after="200"/>
      </w:pPr>
      <w:r>
        <w:rPr>
          <w:rFonts w:ascii="Century Gothic" w:hAnsi="Century Gothic"/>
          <w:b/>
          <w:i w:val="0"/>
          <w:color w:val="07513A"/>
          <w:sz w:val="29"/>
        </w:rPr>
        <w:t>Há indícios de comprometimento da saúde financeira municipal em razão dos gastos com os festejos juninos?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shd w:fill="07513A"/>
            <w:vAlign w:val="center"/>
          </w:tcPr>
          <w:p>
            <w:pPr>
              <w:spacing w:after="0" w:line="276" w:lineRule="auto"/>
            </w:pPr>
            <w:r/>
            <w:r>
              <w:rPr>
                <w:rFonts w:ascii="Century Gothic" w:hAnsi="Century Gothic"/>
                <w:b/>
                <w:i w:val="0"/>
                <w:color w:val="FFFFFF"/>
                <w:sz w:val="17"/>
              </w:rPr>
              <w:t>Objetivo do teste</w:t>
            </w:r>
          </w:p>
        </w:tc>
        <w:tc>
          <w:tcPr>
            <w:tcW w:type="dxa" w:w="6660"/>
            <w:shd w:fill="F4F7F5"/>
            <w:vAlign w:val="center"/>
          </w:tcPr>
          <w:p>
            <w:pPr>
              <w:spacing w:after="0" w:line="276" w:lineRule="auto"/>
            </w:pPr>
            <w:r/>
            <w:r>
              <w:rPr>
                <w:rFonts w:ascii="Century Gothic" w:hAnsi="Century Gothic"/>
                <w:b w:val="0"/>
                <w:i w:val="0"/>
                <w:color w:val="202020"/>
                <w:sz w:val="17"/>
              </w:rPr>
              <w:t>Identificar deterioração fiscal e testar eventual nexo com a despesa do evento.</w:t>
            </w:r>
          </w:p>
        </w:tc>
      </w:tr>
      <w:tr>
        <w:tc>
          <w:tcPr>
            <w:tcW w:type="dxa" w:w="2700"/>
            <w:shd w:fill="EAF5EE"/>
            <w:vAlign w:val="center"/>
          </w:tcPr>
          <w:p>
            <w:pPr>
              <w:spacing w:after="0" w:line="276" w:lineRule="auto"/>
            </w:pPr>
            <w:r/>
            <w:r>
              <w:rPr>
                <w:rFonts w:ascii="Century Gothic" w:hAnsi="Century Gothic"/>
                <w:b/>
                <w:i w:val="0"/>
                <w:color w:val="07513A"/>
                <w:sz w:val="17"/>
              </w:rPr>
              <w:t>Critério</w:t>
            </w:r>
          </w:p>
        </w:tc>
        <w:tc>
          <w:tcPr>
            <w:tcW w:type="dxa" w:w="6660"/>
            <w:shd w:fill="F4F7F5"/>
            <w:vAlign w:val="center"/>
          </w:tcPr>
          <w:p>
            <w:pPr>
              <w:spacing w:after="0" w:line="276" w:lineRule="auto"/>
            </w:pPr>
            <w:r/>
            <w:r>
              <w:rPr>
                <w:rFonts w:ascii="Century Gothic" w:hAnsi="Century Gothic"/>
                <w:b w:val="0"/>
                <w:i w:val="0"/>
                <w:color w:val="202020"/>
                <w:sz w:val="17"/>
              </w:rPr>
              <w:t>LRF; MDF; MCASP; Nota Técnica Conjunta nº 01/2026.</w:t>
            </w:r>
          </w:p>
        </w:tc>
      </w:tr>
      <w:tr>
        <w:tc>
          <w:tcPr>
            <w:tcW w:type="dxa" w:w="2700"/>
            <w:shd w:fill="EAF5EE"/>
            <w:vAlign w:val="center"/>
          </w:tcPr>
          <w:p>
            <w:pPr>
              <w:spacing w:after="0" w:line="276" w:lineRule="auto"/>
            </w:pPr>
            <w:r/>
            <w:r>
              <w:rPr>
                <w:rFonts w:ascii="Century Gothic" w:hAnsi="Century Gothic"/>
                <w:b/>
                <w:i w:val="0"/>
                <w:color w:val="07513A"/>
                <w:sz w:val="17"/>
              </w:rPr>
              <w:t>Evidências mínimas</w:t>
            </w:r>
          </w:p>
        </w:tc>
        <w:tc>
          <w:tcPr>
            <w:tcW w:type="dxa" w:w="6660"/>
            <w:shd w:fill="F4F7F5"/>
            <w:vAlign w:val="center"/>
          </w:tcPr>
          <w:p>
            <w:pPr>
              <w:spacing w:after="0" w:line="276" w:lineRule="auto"/>
            </w:pPr>
            <w:r/>
            <w:r>
              <w:rPr>
                <w:rFonts w:ascii="Century Gothic" w:hAnsi="Century Gothic"/>
                <w:b w:val="0"/>
                <w:i w:val="0"/>
                <w:color w:val="202020"/>
                <w:sz w:val="17"/>
              </w:rPr>
              <w:t>Resultado orçamentário, disponibilidade de caixa, restos a pagar, obrigações vencidas, RREO/RGF e série comparável.</w:t>
            </w:r>
          </w:p>
        </w:tc>
      </w:tr>
      <w:tr>
        <w:tc>
          <w:tcPr>
            <w:tcW w:type="dxa" w:w="2700"/>
            <w:shd w:fill="EAF5EE"/>
            <w:vAlign w:val="center"/>
          </w:tcPr>
          <w:p>
            <w:pPr>
              <w:spacing w:after="0" w:line="276" w:lineRule="auto"/>
            </w:pPr>
            <w:r/>
            <w:r>
              <w:rPr>
                <w:rFonts w:ascii="Century Gothic" w:hAnsi="Century Gothic"/>
                <w:b/>
                <w:i w:val="0"/>
                <w:color w:val="07513A"/>
                <w:sz w:val="17"/>
              </w:rPr>
              <w:t>Memória de cálculo</w:t>
            </w:r>
          </w:p>
        </w:tc>
        <w:tc>
          <w:tcPr>
            <w:tcW w:type="dxa" w:w="6660"/>
            <w:shd w:fill="F4F7F5"/>
            <w:vAlign w:val="center"/>
          </w:tcPr>
          <w:p>
            <w:pPr>
              <w:spacing w:after="0" w:line="276" w:lineRule="auto"/>
            </w:pPr>
            <w:r/>
            <w:r>
              <w:rPr>
                <w:rFonts w:ascii="Century Gothic" w:hAnsi="Century Gothic"/>
                <w:b w:val="0"/>
                <w:i w:val="0"/>
                <w:color w:val="202020"/>
                <w:sz w:val="17"/>
              </w:rPr>
              <w:t>Variação = indicador pós − indicador pré; participação do evento = gasto do evento ÷ variação negativa, apenas quando houver base causal defensável.</w:t>
            </w:r>
          </w:p>
        </w:tc>
      </w:tr>
      <w:tr>
        <w:tc>
          <w:tcPr>
            <w:tcW w:type="dxa" w:w="2700"/>
            <w:shd w:fill="EAF5EE"/>
            <w:vAlign w:val="center"/>
          </w:tcPr>
          <w:p>
            <w:pPr>
              <w:spacing w:after="0" w:line="276" w:lineRule="auto"/>
            </w:pPr>
            <w:r/>
            <w:r>
              <w:rPr>
                <w:rFonts w:ascii="Century Gothic" w:hAnsi="Century Gothic"/>
                <w:b/>
                <w:i w:val="0"/>
                <w:color w:val="07513A"/>
                <w:sz w:val="17"/>
              </w:rPr>
              <w:t>Produto da resposta</w:t>
            </w:r>
          </w:p>
        </w:tc>
        <w:tc>
          <w:tcPr>
            <w:tcW w:type="dxa" w:w="6660"/>
            <w:shd w:fill="F4F7F5"/>
            <w:vAlign w:val="center"/>
          </w:tcPr>
          <w:p>
            <w:pPr>
              <w:spacing w:after="0" w:line="276" w:lineRule="auto"/>
            </w:pPr>
            <w:r/>
            <w:r>
              <w:rPr>
                <w:rFonts w:ascii="Century Gothic" w:hAnsi="Century Gothic"/>
                <w:b w:val="0"/>
                <w:i w:val="0"/>
                <w:color w:val="202020"/>
                <w:sz w:val="17"/>
              </w:rPr>
              <w:t>Indicar se há indício, evidência suficiente, ausência de nexo ou limitação impeditiva.</w:t>
            </w:r>
          </w:p>
        </w:tc>
      </w:tr>
      <w:tr>
        <w:tc>
          <w:tcPr>
            <w:tcW w:type="dxa" w:w="2700"/>
            <w:shd w:fill="EAF5EE"/>
            <w:vAlign w:val="center"/>
          </w:tcPr>
          <w:p>
            <w:pPr>
              <w:spacing w:after="0" w:line="276" w:lineRule="auto"/>
            </w:pPr>
            <w:r/>
            <w:r>
              <w:rPr>
                <w:rFonts w:ascii="Century Gothic" w:hAnsi="Century Gothic"/>
                <w:b/>
                <w:i w:val="0"/>
                <w:color w:val="07513A"/>
                <w:sz w:val="17"/>
              </w:rPr>
              <w:t>Cautela</w:t>
            </w:r>
          </w:p>
        </w:tc>
        <w:tc>
          <w:tcPr>
            <w:tcW w:type="dxa" w:w="6660"/>
            <w:shd w:fill="FFF2CC"/>
            <w:vAlign w:val="center"/>
          </w:tcPr>
          <w:p>
            <w:pPr>
              <w:spacing w:after="0" w:line="276" w:lineRule="auto"/>
            </w:pPr>
            <w:r/>
            <w:r>
              <w:rPr>
                <w:rFonts w:ascii="Century Gothic" w:hAnsi="Century Gothic"/>
                <w:b w:val="0"/>
                <w:i w:val="0"/>
                <w:color w:val="202020"/>
                <w:sz w:val="17"/>
              </w:rPr>
              <w:t>Coincidência temporal e correlação não demonstram causalidade.</w:t>
            </w:r>
          </w:p>
        </w:tc>
      </w:tr>
    </w:tbl>
    <w:p>
      <w:pPr>
        <w:pStyle w:val="Heading2"/>
        <w:keepNext/>
      </w:pPr>
      <w:r>
        <w:rPr>
          <w:rFonts w:ascii="Century Gothic" w:hAnsi="Century Gothic"/>
          <w:b/>
          <w:i w:val="0"/>
          <w:color w:val="07513A"/>
          <w:sz w:val="25"/>
        </w:rPr>
        <w:t>Procedimentos</w:t>
      </w:r>
    </w:p>
    <w:p>
      <w:pPr>
        <w:pStyle w:val="ListBullet"/>
        <w:spacing w:after="80" w:line="300" w:lineRule="auto"/>
      </w:pPr>
      <w:r>
        <w:rPr>
          <w:rFonts w:ascii="Century Gothic" w:hAnsi="Century Gothic"/>
          <w:b w:val="0"/>
          <w:i w:val="0"/>
          <w:color w:val="202020"/>
          <w:sz w:val="19"/>
        </w:rPr>
        <w:t>Construir série antes, durante e após o evento com bases homogêneas.</w:t>
      </w:r>
    </w:p>
    <w:p>
      <w:pPr>
        <w:pStyle w:val="ListBullet"/>
        <w:spacing w:after="80" w:line="300" w:lineRule="auto"/>
      </w:pPr>
      <w:r>
        <w:rPr>
          <w:rFonts w:ascii="Century Gothic" w:hAnsi="Century Gothic"/>
          <w:b w:val="0"/>
          <w:i w:val="0"/>
          <w:color w:val="202020"/>
          <w:sz w:val="19"/>
        </w:rPr>
        <w:t>Quantificar variação de resultado, caixa, RP e atrasos.</w:t>
      </w:r>
    </w:p>
    <w:p>
      <w:pPr>
        <w:pStyle w:val="ListBullet"/>
        <w:spacing w:after="80" w:line="300" w:lineRule="auto"/>
      </w:pPr>
      <w:r>
        <w:rPr>
          <w:rFonts w:ascii="Century Gothic" w:hAnsi="Century Gothic"/>
          <w:b w:val="0"/>
          <w:i w:val="0"/>
          <w:color w:val="202020"/>
          <w:sz w:val="19"/>
        </w:rPr>
        <w:t>Testar se a variação decorre do evento ou de outros fatores relevantes.</w:t>
      </w:r>
    </w:p>
    <w:p>
      <w:pPr>
        <w:pStyle w:val="Heading2"/>
        <w:keepNext/>
      </w:pPr>
      <w:r>
        <w:rPr>
          <w:rFonts w:ascii="Century Gothic" w:hAnsi="Century Gothic"/>
          <w:b/>
          <w:i w:val="0"/>
          <w:color w:val="07513A"/>
          <w:sz w:val="25"/>
        </w:rPr>
        <w:t>Registro da conclusão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shd w:fill="EAF5EE"/>
            <w:vAlign w:val="center"/>
          </w:tcPr>
          <w:p>
            <w:pPr>
              <w:spacing w:after="0" w:line="276" w:lineRule="auto"/>
            </w:pPr>
            <w:r/>
            <w:r>
              <w:rPr>
                <w:rFonts w:ascii="Century Gothic" w:hAnsi="Century Gothic"/>
                <w:b/>
                <w:i w:val="0"/>
                <w:color w:val="07513A"/>
                <w:sz w:val="17"/>
              </w:rPr>
              <w:t>Resultado</w:t>
            </w:r>
          </w:p>
        </w:tc>
        <w:tc>
          <w:tcPr>
            <w:tcW w:type="dxa" w:w="6660"/>
            <w:shd w:fill="FFF2CC"/>
            <w:vAlign w:val="center"/>
          </w:tcPr>
          <w:p>
            <w:pPr>
              <w:spacing w:after="0" w:line="276" w:lineRule="auto"/>
            </w:pPr>
            <w:r/>
            <w:r>
              <w:rPr>
                <w:rFonts w:ascii="Century Gothic" w:hAnsi="Century Gothic"/>
                <w:b w:val="0"/>
                <w:i w:val="0"/>
                <w:color w:val="202020"/>
                <w:sz w:val="17"/>
              </w:rPr>
              <w:t>Selecionar: comprovado · não comprovado · indício · inconclusivo · não aplicável</w:t>
            </w:r>
          </w:p>
        </w:tc>
      </w:tr>
      <w:tr>
        <w:tc>
          <w:tcPr>
            <w:tcW w:type="dxa" w:w="2700"/>
            <w:shd w:fill="EAF5EE"/>
            <w:vAlign w:val="center"/>
          </w:tcPr>
          <w:p>
            <w:pPr>
              <w:spacing w:after="0" w:line="276" w:lineRule="auto"/>
            </w:pPr>
            <w:r/>
            <w:r>
              <w:rPr>
                <w:rFonts w:ascii="Century Gothic" w:hAnsi="Century Gothic"/>
                <w:b/>
                <w:i w:val="0"/>
                <w:color w:val="07513A"/>
                <w:sz w:val="17"/>
              </w:rPr>
              <w:t>Evidência-chave</w:t>
            </w:r>
          </w:p>
        </w:tc>
        <w:tc>
          <w:tcPr>
            <w:tcW w:type="dxa" w:w="6660"/>
            <w:shd w:fill="FFF2CC"/>
            <w:vAlign w:val="center"/>
          </w:tcPr>
          <w:p>
            <w:pPr>
              <w:spacing w:after="0" w:line="276" w:lineRule="auto"/>
            </w:pPr>
            <w:r/>
            <w:r>
              <w:rPr>
                <w:rFonts w:ascii="Century Gothic" w:hAnsi="Century Gothic"/>
                <w:b w:val="0"/>
                <w:i w:val="0"/>
                <w:color w:val="202020"/>
                <w:sz w:val="17"/>
              </w:rPr>
              <w:t>Indicar documento, página/linha, competência e data da coleta.</w:t>
            </w:r>
          </w:p>
        </w:tc>
      </w:tr>
      <w:tr>
        <w:tc>
          <w:tcPr>
            <w:tcW w:type="dxa" w:w="2700"/>
            <w:shd w:fill="EAF5EE"/>
            <w:vAlign w:val="center"/>
          </w:tcPr>
          <w:p>
            <w:pPr>
              <w:spacing w:after="0" w:line="276" w:lineRule="auto"/>
            </w:pPr>
            <w:r/>
            <w:r>
              <w:rPr>
                <w:rFonts w:ascii="Century Gothic" w:hAnsi="Century Gothic"/>
                <w:b/>
                <w:i w:val="0"/>
                <w:color w:val="07513A"/>
                <w:sz w:val="17"/>
              </w:rPr>
              <w:t>Resposta objetiva</w:t>
            </w:r>
          </w:p>
        </w:tc>
        <w:tc>
          <w:tcPr>
            <w:tcW w:type="dxa" w:w="6660"/>
            <w:shd w:fill="FFF2CC"/>
            <w:vAlign w:val="center"/>
          </w:tcPr>
          <w:p>
            <w:pPr>
              <w:spacing w:after="0" w:line="276" w:lineRule="auto"/>
            </w:pPr>
            <w:r/>
            <w:r>
              <w:rPr>
                <w:rFonts w:ascii="Century Gothic" w:hAnsi="Century Gothic"/>
                <w:b w:val="0"/>
                <w:i w:val="0"/>
                <w:color w:val="202020"/>
                <w:sz w:val="17"/>
              </w:rPr>
              <w:t>Redigir em até 180 palavras, iniciando pelo resultado e pela base numérica.</w:t>
            </w:r>
          </w:p>
        </w:tc>
      </w:tr>
      <w:tr>
        <w:tc>
          <w:tcPr>
            <w:tcW w:type="dxa" w:w="2700"/>
            <w:shd w:fill="EAF5EE"/>
            <w:vAlign w:val="center"/>
          </w:tcPr>
          <w:p>
            <w:pPr>
              <w:spacing w:after="0" w:line="276" w:lineRule="auto"/>
            </w:pPr>
            <w:r/>
            <w:r>
              <w:rPr>
                <w:rFonts w:ascii="Century Gothic" w:hAnsi="Century Gothic"/>
                <w:b/>
                <w:i w:val="0"/>
                <w:color w:val="07513A"/>
                <w:sz w:val="17"/>
              </w:rPr>
              <w:t>Limitação/diligência</w:t>
            </w:r>
          </w:p>
        </w:tc>
        <w:tc>
          <w:tcPr>
            <w:tcW w:type="dxa" w:w="6660"/>
            <w:shd w:fill="FFF2CC"/>
            <w:vAlign w:val="center"/>
          </w:tcPr>
          <w:p>
            <w:pPr>
              <w:spacing w:after="0" w:line="276" w:lineRule="auto"/>
            </w:pPr>
            <w:r/>
            <w:r>
              <w:rPr>
                <w:rFonts w:ascii="Century Gothic" w:hAnsi="Century Gothic"/>
                <w:b w:val="0"/>
                <w:i w:val="0"/>
                <w:color w:val="202020"/>
                <w:sz w:val="17"/>
              </w:rPr>
              <w:t>Indicar exatamente o documento faltante e o efeito sobre a conclusão.</w:t>
            </w:r>
          </w:p>
        </w:tc>
      </w:tr>
      <w:tr>
        <w:tc>
          <w:tcPr>
            <w:tcW w:type="dxa" w:w="2700"/>
            <w:shd w:fill="EAF5EE"/>
            <w:vAlign w:val="center"/>
          </w:tcPr>
          <w:p>
            <w:pPr>
              <w:spacing w:after="0" w:line="276" w:lineRule="auto"/>
            </w:pPr>
            <w:r/>
            <w:r>
              <w:rPr>
                <w:rFonts w:ascii="Century Gothic" w:hAnsi="Century Gothic"/>
                <w:b/>
                <w:i w:val="0"/>
                <w:color w:val="07513A"/>
                <w:sz w:val="17"/>
              </w:rPr>
              <w:t>Revisão</w:t>
            </w:r>
          </w:p>
        </w:tc>
        <w:tc>
          <w:tcPr>
            <w:tcW w:type="dxa" w:w="6660"/>
            <w:shd w:fill="FFF2CC"/>
            <w:vAlign w:val="center"/>
          </w:tcPr>
          <w:p>
            <w:pPr>
              <w:spacing w:after="0" w:line="276" w:lineRule="auto"/>
            </w:pPr>
            <w:r/>
            <w:r>
              <w:rPr>
                <w:rFonts w:ascii="Century Gothic" w:hAnsi="Century Gothic"/>
                <w:b w:val="0"/>
                <w:i w:val="0"/>
                <w:color w:val="202020"/>
                <w:sz w:val="17"/>
              </w:rPr>
              <w:t>Revisor, data e decisão sobre o texto final.</w:t>
            </w:r>
          </w:p>
        </w:tc>
      </w:tr>
    </w:tbl>
    <w:p>
      <w:pPr>
        <w:pageBreakBefore/>
        <w:spacing w:after="100"/>
      </w:pPr>
      <w:r>
        <w:rPr>
          <w:rFonts w:ascii="Century Gothic" w:hAnsi="Century Gothic"/>
          <w:b/>
          <w:i w:val="0"/>
          <w:color w:val="D8A928"/>
          <w:sz w:val="19"/>
        </w:rPr>
        <w:t>QF-05 · QUESITO 5</w:t>
      </w:r>
    </w:p>
    <w:p>
      <w:pPr>
        <w:keepNext/>
        <w:spacing w:after="200"/>
      </w:pPr>
      <w:r>
        <w:rPr>
          <w:rFonts w:ascii="Century Gothic" w:hAnsi="Century Gothic"/>
          <w:b/>
          <w:i w:val="0"/>
          <w:color w:val="07513A"/>
          <w:sz w:val="29"/>
        </w:rPr>
        <w:t>As despesas relativas à festa de emancipação de 2022 foram devidamente empenhadas, liquidadas e pagas, conforme a legislação?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shd w:fill="07513A"/>
            <w:vAlign w:val="center"/>
          </w:tcPr>
          <w:p>
            <w:pPr>
              <w:spacing w:after="0" w:line="276" w:lineRule="auto"/>
            </w:pPr>
            <w:r/>
            <w:r>
              <w:rPr>
                <w:rFonts w:ascii="Century Gothic" w:hAnsi="Century Gothic"/>
                <w:b/>
                <w:i w:val="0"/>
                <w:color w:val="FFFFFF"/>
                <w:sz w:val="17"/>
              </w:rPr>
              <w:t>Objetivo do teste</w:t>
            </w:r>
          </w:p>
        </w:tc>
        <w:tc>
          <w:tcPr>
            <w:tcW w:type="dxa" w:w="6660"/>
            <w:shd w:fill="F4F7F5"/>
            <w:vAlign w:val="center"/>
          </w:tcPr>
          <w:p>
            <w:pPr>
              <w:spacing w:after="0" w:line="276" w:lineRule="auto"/>
            </w:pPr>
            <w:r/>
            <w:r>
              <w:rPr>
                <w:rFonts w:ascii="Century Gothic" w:hAnsi="Century Gothic"/>
                <w:b w:val="0"/>
                <w:i w:val="0"/>
                <w:color w:val="202020"/>
                <w:sz w:val="17"/>
              </w:rPr>
              <w:t>Reexecutar o ciclo da despesa de 2022 com base nos autos.</w:t>
            </w:r>
          </w:p>
        </w:tc>
      </w:tr>
      <w:tr>
        <w:tc>
          <w:tcPr>
            <w:tcW w:type="dxa" w:w="2700"/>
            <w:shd w:fill="EAF5EE"/>
            <w:vAlign w:val="center"/>
          </w:tcPr>
          <w:p>
            <w:pPr>
              <w:spacing w:after="0" w:line="276" w:lineRule="auto"/>
            </w:pPr>
            <w:r/>
            <w:r>
              <w:rPr>
                <w:rFonts w:ascii="Century Gothic" w:hAnsi="Century Gothic"/>
                <w:b/>
                <w:i w:val="0"/>
                <w:color w:val="07513A"/>
                <w:sz w:val="17"/>
              </w:rPr>
              <w:t>Critério</w:t>
            </w:r>
          </w:p>
        </w:tc>
        <w:tc>
          <w:tcPr>
            <w:tcW w:type="dxa" w:w="6660"/>
            <w:shd w:fill="F4F7F5"/>
            <w:vAlign w:val="center"/>
          </w:tcPr>
          <w:p>
            <w:pPr>
              <w:spacing w:after="0" w:line="276" w:lineRule="auto"/>
            </w:pPr>
            <w:r/>
            <w:r>
              <w:rPr>
                <w:rFonts w:ascii="Century Gothic" w:hAnsi="Century Gothic"/>
                <w:b w:val="0"/>
                <w:i w:val="0"/>
                <w:color w:val="202020"/>
                <w:sz w:val="17"/>
              </w:rPr>
              <w:t>Lei nº 4.320/1964, arts. 58 a 65; MCASP.</w:t>
            </w:r>
          </w:p>
        </w:tc>
      </w:tr>
      <w:tr>
        <w:tc>
          <w:tcPr>
            <w:tcW w:type="dxa" w:w="2700"/>
            <w:shd w:fill="EAF5EE"/>
            <w:vAlign w:val="center"/>
          </w:tcPr>
          <w:p>
            <w:pPr>
              <w:spacing w:after="0" w:line="276" w:lineRule="auto"/>
            </w:pPr>
            <w:r/>
            <w:r>
              <w:rPr>
                <w:rFonts w:ascii="Century Gothic" w:hAnsi="Century Gothic"/>
                <w:b/>
                <w:i w:val="0"/>
                <w:color w:val="07513A"/>
                <w:sz w:val="17"/>
              </w:rPr>
              <w:t>Evidências mínimas</w:t>
            </w:r>
          </w:p>
        </w:tc>
        <w:tc>
          <w:tcPr>
            <w:tcW w:type="dxa" w:w="6660"/>
            <w:shd w:fill="F4F7F5"/>
            <w:vAlign w:val="center"/>
          </w:tcPr>
          <w:p>
            <w:pPr>
              <w:spacing w:after="0" w:line="276" w:lineRule="auto"/>
            </w:pPr>
            <w:r/>
            <w:r>
              <w:rPr>
                <w:rFonts w:ascii="Century Gothic" w:hAnsi="Century Gothic"/>
                <w:b w:val="0"/>
                <w:i w:val="0"/>
                <w:color w:val="202020"/>
                <w:sz w:val="17"/>
              </w:rPr>
              <w:t>Balanço anual, contratos, empenhos, liquidações, pagamentos, extratos e pareceres do TCM.</w:t>
            </w:r>
          </w:p>
        </w:tc>
      </w:tr>
      <w:tr>
        <w:tc>
          <w:tcPr>
            <w:tcW w:type="dxa" w:w="2700"/>
            <w:shd w:fill="EAF5EE"/>
            <w:vAlign w:val="center"/>
          </w:tcPr>
          <w:p>
            <w:pPr>
              <w:spacing w:after="0" w:line="276" w:lineRule="auto"/>
            </w:pPr>
            <w:r/>
            <w:r>
              <w:rPr>
                <w:rFonts w:ascii="Century Gothic" w:hAnsi="Century Gothic"/>
                <w:b/>
                <w:i w:val="0"/>
                <w:color w:val="07513A"/>
                <w:sz w:val="17"/>
              </w:rPr>
              <w:t>Memória de cálculo</w:t>
            </w:r>
          </w:p>
        </w:tc>
        <w:tc>
          <w:tcPr>
            <w:tcW w:type="dxa" w:w="6660"/>
            <w:shd w:fill="F4F7F5"/>
            <w:vAlign w:val="center"/>
          </w:tcPr>
          <w:p>
            <w:pPr>
              <w:spacing w:after="0" w:line="276" w:lineRule="auto"/>
            </w:pPr>
            <w:r/>
            <w:r>
              <w:rPr>
                <w:rFonts w:ascii="Century Gothic" w:hAnsi="Century Gothic"/>
                <w:b w:val="0"/>
                <w:i w:val="0"/>
                <w:color w:val="202020"/>
                <w:sz w:val="17"/>
              </w:rPr>
              <w:t>Total contratado, empenhado, liquidado e pago; diferenças por documento e no agregado.</w:t>
            </w:r>
          </w:p>
        </w:tc>
      </w:tr>
      <w:tr>
        <w:tc>
          <w:tcPr>
            <w:tcW w:type="dxa" w:w="2700"/>
            <w:shd w:fill="EAF5EE"/>
            <w:vAlign w:val="center"/>
          </w:tcPr>
          <w:p>
            <w:pPr>
              <w:spacing w:after="0" w:line="276" w:lineRule="auto"/>
            </w:pPr>
            <w:r/>
            <w:r>
              <w:rPr>
                <w:rFonts w:ascii="Century Gothic" w:hAnsi="Century Gothic"/>
                <w:b/>
                <w:i w:val="0"/>
                <w:color w:val="07513A"/>
                <w:sz w:val="17"/>
              </w:rPr>
              <w:t>Produto da resposta</w:t>
            </w:r>
          </w:p>
        </w:tc>
        <w:tc>
          <w:tcPr>
            <w:tcW w:type="dxa" w:w="6660"/>
            <w:shd w:fill="F4F7F5"/>
            <w:vAlign w:val="center"/>
          </w:tcPr>
          <w:p>
            <w:pPr>
              <w:spacing w:after="0" w:line="276" w:lineRule="auto"/>
            </w:pPr>
            <w:r/>
            <w:r>
              <w:rPr>
                <w:rFonts w:ascii="Century Gothic" w:hAnsi="Century Gothic"/>
                <w:b w:val="0"/>
                <w:i w:val="0"/>
                <w:color w:val="202020"/>
                <w:sz w:val="17"/>
              </w:rPr>
              <w:t>Tabela por despesa e síntese objetiva sobre os estágios comprovados e não comprovados.</w:t>
            </w:r>
          </w:p>
        </w:tc>
      </w:tr>
      <w:tr>
        <w:tc>
          <w:tcPr>
            <w:tcW w:type="dxa" w:w="2700"/>
            <w:shd w:fill="EAF5EE"/>
            <w:vAlign w:val="center"/>
          </w:tcPr>
          <w:p>
            <w:pPr>
              <w:spacing w:after="0" w:line="276" w:lineRule="auto"/>
            </w:pPr>
            <w:r/>
            <w:r>
              <w:rPr>
                <w:rFonts w:ascii="Century Gothic" w:hAnsi="Century Gothic"/>
                <w:b/>
                <w:i w:val="0"/>
                <w:color w:val="07513A"/>
                <w:sz w:val="17"/>
              </w:rPr>
              <w:t>Cautela</w:t>
            </w:r>
          </w:p>
        </w:tc>
        <w:tc>
          <w:tcPr>
            <w:tcW w:type="dxa" w:w="6660"/>
            <w:shd w:fill="FFF2CC"/>
            <w:vAlign w:val="center"/>
          </w:tcPr>
          <w:p>
            <w:pPr>
              <w:spacing w:after="0" w:line="276" w:lineRule="auto"/>
            </w:pPr>
            <w:r/>
            <w:r>
              <w:rPr>
                <w:rFonts w:ascii="Century Gothic" w:hAnsi="Century Gothic"/>
                <w:b w:val="0"/>
                <w:i w:val="0"/>
                <w:color w:val="202020"/>
                <w:sz w:val="17"/>
              </w:rPr>
              <w:t>Parecer do TCM é evidência relevante, mas não substitui a conferência das peças dos autos.</w:t>
            </w:r>
          </w:p>
        </w:tc>
      </w:tr>
    </w:tbl>
    <w:p>
      <w:pPr>
        <w:pStyle w:val="Heading2"/>
        <w:keepNext/>
      </w:pPr>
      <w:r>
        <w:rPr>
          <w:rFonts w:ascii="Century Gothic" w:hAnsi="Century Gothic"/>
          <w:b/>
          <w:i w:val="0"/>
          <w:color w:val="07513A"/>
          <w:sz w:val="25"/>
        </w:rPr>
        <w:t>Procedimentos</w:t>
      </w:r>
    </w:p>
    <w:p>
      <w:pPr>
        <w:pStyle w:val="ListBullet"/>
        <w:spacing w:after="80" w:line="300" w:lineRule="auto"/>
      </w:pPr>
      <w:r>
        <w:rPr>
          <w:rFonts w:ascii="Century Gothic" w:hAnsi="Century Gothic"/>
          <w:b w:val="0"/>
          <w:i w:val="0"/>
          <w:color w:val="202020"/>
          <w:sz w:val="19"/>
        </w:rPr>
        <w:t>Montar universo das despesas atribuídas ao evento.</w:t>
      </w:r>
    </w:p>
    <w:p>
      <w:pPr>
        <w:pStyle w:val="ListBullet"/>
        <w:spacing w:after="80" w:line="300" w:lineRule="auto"/>
      </w:pPr>
      <w:r>
        <w:rPr>
          <w:rFonts w:ascii="Century Gothic" w:hAnsi="Century Gothic"/>
          <w:b w:val="0"/>
          <w:i w:val="0"/>
          <w:color w:val="202020"/>
          <w:sz w:val="19"/>
        </w:rPr>
        <w:t>Validar sequência, competência, valor e documento de suporte de cada estágio.</w:t>
      </w:r>
    </w:p>
    <w:p>
      <w:pPr>
        <w:pStyle w:val="ListBullet"/>
        <w:spacing w:after="80" w:line="300" w:lineRule="auto"/>
      </w:pPr>
      <w:r>
        <w:rPr>
          <w:rFonts w:ascii="Century Gothic" w:hAnsi="Century Gothic"/>
          <w:b w:val="0"/>
          <w:i w:val="0"/>
          <w:color w:val="202020"/>
          <w:sz w:val="19"/>
        </w:rPr>
        <w:t>Conciliar totais com balanço, razão e extratos.</w:t>
      </w:r>
    </w:p>
    <w:p>
      <w:pPr>
        <w:pStyle w:val="Heading2"/>
        <w:keepNext/>
      </w:pPr>
      <w:r>
        <w:rPr>
          <w:rFonts w:ascii="Century Gothic" w:hAnsi="Century Gothic"/>
          <w:b/>
          <w:i w:val="0"/>
          <w:color w:val="07513A"/>
          <w:sz w:val="25"/>
        </w:rPr>
        <w:t>Registro da conclusão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shd w:fill="EAF5EE"/>
            <w:vAlign w:val="center"/>
          </w:tcPr>
          <w:p>
            <w:pPr>
              <w:spacing w:after="0" w:line="276" w:lineRule="auto"/>
            </w:pPr>
            <w:r/>
            <w:r>
              <w:rPr>
                <w:rFonts w:ascii="Century Gothic" w:hAnsi="Century Gothic"/>
                <w:b/>
                <w:i w:val="0"/>
                <w:color w:val="07513A"/>
                <w:sz w:val="17"/>
              </w:rPr>
              <w:t>Resultado</w:t>
            </w:r>
          </w:p>
        </w:tc>
        <w:tc>
          <w:tcPr>
            <w:tcW w:type="dxa" w:w="6660"/>
            <w:shd w:fill="FFF2CC"/>
            <w:vAlign w:val="center"/>
          </w:tcPr>
          <w:p>
            <w:pPr>
              <w:spacing w:after="0" w:line="276" w:lineRule="auto"/>
            </w:pPr>
            <w:r/>
            <w:r>
              <w:rPr>
                <w:rFonts w:ascii="Century Gothic" w:hAnsi="Century Gothic"/>
                <w:b w:val="0"/>
                <w:i w:val="0"/>
                <w:color w:val="202020"/>
                <w:sz w:val="17"/>
              </w:rPr>
              <w:t>Selecionar: comprovado · não comprovado · indício · inconclusivo · não aplicável</w:t>
            </w:r>
          </w:p>
        </w:tc>
      </w:tr>
      <w:tr>
        <w:tc>
          <w:tcPr>
            <w:tcW w:type="dxa" w:w="2700"/>
            <w:shd w:fill="EAF5EE"/>
            <w:vAlign w:val="center"/>
          </w:tcPr>
          <w:p>
            <w:pPr>
              <w:spacing w:after="0" w:line="276" w:lineRule="auto"/>
            </w:pPr>
            <w:r/>
            <w:r>
              <w:rPr>
                <w:rFonts w:ascii="Century Gothic" w:hAnsi="Century Gothic"/>
                <w:b/>
                <w:i w:val="0"/>
                <w:color w:val="07513A"/>
                <w:sz w:val="17"/>
              </w:rPr>
              <w:t>Evidência-chave</w:t>
            </w:r>
          </w:p>
        </w:tc>
        <w:tc>
          <w:tcPr>
            <w:tcW w:type="dxa" w:w="6660"/>
            <w:shd w:fill="FFF2CC"/>
            <w:vAlign w:val="center"/>
          </w:tcPr>
          <w:p>
            <w:pPr>
              <w:spacing w:after="0" w:line="276" w:lineRule="auto"/>
            </w:pPr>
            <w:r/>
            <w:r>
              <w:rPr>
                <w:rFonts w:ascii="Century Gothic" w:hAnsi="Century Gothic"/>
                <w:b w:val="0"/>
                <w:i w:val="0"/>
                <w:color w:val="202020"/>
                <w:sz w:val="17"/>
              </w:rPr>
              <w:t>Indicar documento, página/linha, competência e data da coleta.</w:t>
            </w:r>
          </w:p>
        </w:tc>
      </w:tr>
      <w:tr>
        <w:tc>
          <w:tcPr>
            <w:tcW w:type="dxa" w:w="2700"/>
            <w:shd w:fill="EAF5EE"/>
            <w:vAlign w:val="center"/>
          </w:tcPr>
          <w:p>
            <w:pPr>
              <w:spacing w:after="0" w:line="276" w:lineRule="auto"/>
            </w:pPr>
            <w:r/>
            <w:r>
              <w:rPr>
                <w:rFonts w:ascii="Century Gothic" w:hAnsi="Century Gothic"/>
                <w:b/>
                <w:i w:val="0"/>
                <w:color w:val="07513A"/>
                <w:sz w:val="17"/>
              </w:rPr>
              <w:t>Resposta objetiva</w:t>
            </w:r>
          </w:p>
        </w:tc>
        <w:tc>
          <w:tcPr>
            <w:tcW w:type="dxa" w:w="6660"/>
            <w:shd w:fill="FFF2CC"/>
            <w:vAlign w:val="center"/>
          </w:tcPr>
          <w:p>
            <w:pPr>
              <w:spacing w:after="0" w:line="276" w:lineRule="auto"/>
            </w:pPr>
            <w:r/>
            <w:r>
              <w:rPr>
                <w:rFonts w:ascii="Century Gothic" w:hAnsi="Century Gothic"/>
                <w:b w:val="0"/>
                <w:i w:val="0"/>
                <w:color w:val="202020"/>
                <w:sz w:val="17"/>
              </w:rPr>
              <w:t>Redigir em até 180 palavras, iniciando pelo resultado e pela base numérica.</w:t>
            </w:r>
          </w:p>
        </w:tc>
      </w:tr>
      <w:tr>
        <w:tc>
          <w:tcPr>
            <w:tcW w:type="dxa" w:w="2700"/>
            <w:shd w:fill="EAF5EE"/>
            <w:vAlign w:val="center"/>
          </w:tcPr>
          <w:p>
            <w:pPr>
              <w:spacing w:after="0" w:line="276" w:lineRule="auto"/>
            </w:pPr>
            <w:r/>
            <w:r>
              <w:rPr>
                <w:rFonts w:ascii="Century Gothic" w:hAnsi="Century Gothic"/>
                <w:b/>
                <w:i w:val="0"/>
                <w:color w:val="07513A"/>
                <w:sz w:val="17"/>
              </w:rPr>
              <w:t>Limitação/diligência</w:t>
            </w:r>
          </w:p>
        </w:tc>
        <w:tc>
          <w:tcPr>
            <w:tcW w:type="dxa" w:w="6660"/>
            <w:shd w:fill="FFF2CC"/>
            <w:vAlign w:val="center"/>
          </w:tcPr>
          <w:p>
            <w:pPr>
              <w:spacing w:after="0" w:line="276" w:lineRule="auto"/>
            </w:pPr>
            <w:r/>
            <w:r>
              <w:rPr>
                <w:rFonts w:ascii="Century Gothic" w:hAnsi="Century Gothic"/>
                <w:b w:val="0"/>
                <w:i w:val="0"/>
                <w:color w:val="202020"/>
                <w:sz w:val="17"/>
              </w:rPr>
              <w:t>Indicar exatamente o documento faltante e o efeito sobre a conclusão.</w:t>
            </w:r>
          </w:p>
        </w:tc>
      </w:tr>
      <w:tr>
        <w:tc>
          <w:tcPr>
            <w:tcW w:type="dxa" w:w="2700"/>
            <w:shd w:fill="EAF5EE"/>
            <w:vAlign w:val="center"/>
          </w:tcPr>
          <w:p>
            <w:pPr>
              <w:spacing w:after="0" w:line="276" w:lineRule="auto"/>
            </w:pPr>
            <w:r/>
            <w:r>
              <w:rPr>
                <w:rFonts w:ascii="Century Gothic" w:hAnsi="Century Gothic"/>
                <w:b/>
                <w:i w:val="0"/>
                <w:color w:val="07513A"/>
                <w:sz w:val="17"/>
              </w:rPr>
              <w:t>Revisão</w:t>
            </w:r>
          </w:p>
        </w:tc>
        <w:tc>
          <w:tcPr>
            <w:tcW w:type="dxa" w:w="6660"/>
            <w:shd w:fill="FFF2CC"/>
            <w:vAlign w:val="center"/>
          </w:tcPr>
          <w:p>
            <w:pPr>
              <w:spacing w:after="0" w:line="276" w:lineRule="auto"/>
            </w:pPr>
            <w:r/>
            <w:r>
              <w:rPr>
                <w:rFonts w:ascii="Century Gothic" w:hAnsi="Century Gothic"/>
                <w:b w:val="0"/>
                <w:i w:val="0"/>
                <w:color w:val="202020"/>
                <w:sz w:val="17"/>
              </w:rPr>
              <w:t>Revisor, data e decisão sobre o texto final.</w:t>
            </w:r>
          </w:p>
        </w:tc>
      </w:tr>
    </w:tbl>
    <w:p>
      <w:pPr>
        <w:pageBreakBefore/>
        <w:spacing w:after="100"/>
      </w:pPr>
      <w:r>
        <w:rPr>
          <w:rFonts w:ascii="Century Gothic" w:hAnsi="Century Gothic"/>
          <w:b/>
          <w:i w:val="0"/>
          <w:color w:val="D8A928"/>
          <w:sz w:val="19"/>
        </w:rPr>
        <w:t>QF-06 · QUESITO 6</w:t>
      </w:r>
    </w:p>
    <w:p>
      <w:pPr>
        <w:keepNext/>
        <w:spacing w:after="200"/>
      </w:pPr>
      <w:r>
        <w:rPr>
          <w:rFonts w:ascii="Century Gothic" w:hAnsi="Century Gothic"/>
          <w:b/>
          <w:i w:val="0"/>
          <w:color w:val="07513A"/>
          <w:sz w:val="29"/>
        </w:rPr>
        <w:t>Há evidência documental de dotação específica ou de abertura regular de crédito adicional para custeio do evento?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shd w:fill="07513A"/>
            <w:vAlign w:val="center"/>
          </w:tcPr>
          <w:p>
            <w:pPr>
              <w:spacing w:after="0" w:line="276" w:lineRule="auto"/>
            </w:pPr>
            <w:r/>
            <w:r>
              <w:rPr>
                <w:rFonts w:ascii="Century Gothic" w:hAnsi="Century Gothic"/>
                <w:b/>
                <w:i w:val="0"/>
                <w:color w:val="FFFFFF"/>
                <w:sz w:val="17"/>
              </w:rPr>
              <w:t>Objetivo do teste</w:t>
            </w:r>
          </w:p>
        </w:tc>
        <w:tc>
          <w:tcPr>
            <w:tcW w:type="dxa" w:w="6660"/>
            <w:shd w:fill="F4F7F5"/>
            <w:vAlign w:val="center"/>
          </w:tcPr>
          <w:p>
            <w:pPr>
              <w:spacing w:after="0" w:line="276" w:lineRule="auto"/>
            </w:pPr>
            <w:r/>
            <w:r>
              <w:rPr>
                <w:rFonts w:ascii="Century Gothic" w:hAnsi="Century Gothic"/>
                <w:b w:val="0"/>
                <w:i w:val="0"/>
                <w:color w:val="202020"/>
                <w:sz w:val="17"/>
              </w:rPr>
              <w:t>Validar o fundamento orçamentário específico do evento.</w:t>
            </w:r>
          </w:p>
        </w:tc>
      </w:tr>
      <w:tr>
        <w:tc>
          <w:tcPr>
            <w:tcW w:type="dxa" w:w="2700"/>
            <w:shd w:fill="EAF5EE"/>
            <w:vAlign w:val="center"/>
          </w:tcPr>
          <w:p>
            <w:pPr>
              <w:spacing w:after="0" w:line="276" w:lineRule="auto"/>
            </w:pPr>
            <w:r/>
            <w:r>
              <w:rPr>
                <w:rFonts w:ascii="Century Gothic" w:hAnsi="Century Gothic"/>
                <w:b/>
                <w:i w:val="0"/>
                <w:color w:val="07513A"/>
                <w:sz w:val="17"/>
              </w:rPr>
              <w:t>Critério</w:t>
            </w:r>
          </w:p>
        </w:tc>
        <w:tc>
          <w:tcPr>
            <w:tcW w:type="dxa" w:w="6660"/>
            <w:shd w:fill="F4F7F5"/>
            <w:vAlign w:val="center"/>
          </w:tcPr>
          <w:p>
            <w:pPr>
              <w:spacing w:after="0" w:line="276" w:lineRule="auto"/>
            </w:pPr>
            <w:r/>
            <w:r>
              <w:rPr>
                <w:rFonts w:ascii="Century Gothic" w:hAnsi="Century Gothic"/>
                <w:b w:val="0"/>
                <w:i w:val="0"/>
                <w:color w:val="202020"/>
                <w:sz w:val="17"/>
              </w:rPr>
              <w:t>Lei nº 4.320/1964; LOA; autorização legislativa; regras locais.</w:t>
            </w:r>
          </w:p>
        </w:tc>
      </w:tr>
      <w:tr>
        <w:tc>
          <w:tcPr>
            <w:tcW w:type="dxa" w:w="2700"/>
            <w:shd w:fill="EAF5EE"/>
            <w:vAlign w:val="center"/>
          </w:tcPr>
          <w:p>
            <w:pPr>
              <w:spacing w:after="0" w:line="276" w:lineRule="auto"/>
            </w:pPr>
            <w:r/>
            <w:r>
              <w:rPr>
                <w:rFonts w:ascii="Century Gothic" w:hAnsi="Century Gothic"/>
                <w:b/>
                <w:i w:val="0"/>
                <w:color w:val="07513A"/>
                <w:sz w:val="17"/>
              </w:rPr>
              <w:t>Evidências mínimas</w:t>
            </w:r>
          </w:p>
        </w:tc>
        <w:tc>
          <w:tcPr>
            <w:tcW w:type="dxa" w:w="6660"/>
            <w:shd w:fill="F4F7F5"/>
            <w:vAlign w:val="center"/>
          </w:tcPr>
          <w:p>
            <w:pPr>
              <w:spacing w:after="0" w:line="276" w:lineRule="auto"/>
            </w:pPr>
            <w:r/>
            <w:r>
              <w:rPr>
                <w:rFonts w:ascii="Century Gothic" w:hAnsi="Century Gothic"/>
                <w:b w:val="0"/>
                <w:i w:val="0"/>
                <w:color w:val="202020"/>
                <w:sz w:val="17"/>
              </w:rPr>
              <w:t>LOA/QDD; ato de abertura; exposição de motivos; fonte de recursos; publicação e registros.</w:t>
            </w:r>
          </w:p>
        </w:tc>
      </w:tr>
      <w:tr>
        <w:tc>
          <w:tcPr>
            <w:tcW w:type="dxa" w:w="2700"/>
            <w:shd w:fill="EAF5EE"/>
            <w:vAlign w:val="center"/>
          </w:tcPr>
          <w:p>
            <w:pPr>
              <w:spacing w:after="0" w:line="276" w:lineRule="auto"/>
            </w:pPr>
            <w:r/>
            <w:r>
              <w:rPr>
                <w:rFonts w:ascii="Century Gothic" w:hAnsi="Century Gothic"/>
                <w:b/>
                <w:i w:val="0"/>
                <w:color w:val="07513A"/>
                <w:sz w:val="17"/>
              </w:rPr>
              <w:t>Memória de cálculo</w:t>
            </w:r>
          </w:p>
        </w:tc>
        <w:tc>
          <w:tcPr>
            <w:tcW w:type="dxa" w:w="6660"/>
            <w:shd w:fill="F4F7F5"/>
            <w:vAlign w:val="center"/>
          </w:tcPr>
          <w:p>
            <w:pPr>
              <w:spacing w:after="0" w:line="276" w:lineRule="auto"/>
            </w:pPr>
            <w:r/>
            <w:r>
              <w:rPr>
                <w:rFonts w:ascii="Century Gothic" w:hAnsi="Century Gothic"/>
                <w:b w:val="0"/>
                <w:i w:val="0"/>
                <w:color w:val="202020"/>
                <w:sz w:val="17"/>
              </w:rPr>
              <w:t>Crédito disponível na data do empenho = dotação inicial + créditos válidos − anulações − empenhos anteriores.</w:t>
            </w:r>
          </w:p>
        </w:tc>
      </w:tr>
      <w:tr>
        <w:tc>
          <w:tcPr>
            <w:tcW w:type="dxa" w:w="2700"/>
            <w:shd w:fill="EAF5EE"/>
            <w:vAlign w:val="center"/>
          </w:tcPr>
          <w:p>
            <w:pPr>
              <w:spacing w:after="0" w:line="276" w:lineRule="auto"/>
            </w:pPr>
            <w:r/>
            <w:r>
              <w:rPr>
                <w:rFonts w:ascii="Century Gothic" w:hAnsi="Century Gothic"/>
                <w:b/>
                <w:i w:val="0"/>
                <w:color w:val="07513A"/>
                <w:sz w:val="17"/>
              </w:rPr>
              <w:t>Produto da resposta</w:t>
            </w:r>
          </w:p>
        </w:tc>
        <w:tc>
          <w:tcPr>
            <w:tcW w:type="dxa" w:w="6660"/>
            <w:shd w:fill="F4F7F5"/>
            <w:vAlign w:val="center"/>
          </w:tcPr>
          <w:p>
            <w:pPr>
              <w:spacing w:after="0" w:line="276" w:lineRule="auto"/>
            </w:pPr>
            <w:r/>
            <w:r>
              <w:rPr>
                <w:rFonts w:ascii="Century Gothic" w:hAnsi="Century Gothic"/>
                <w:b w:val="0"/>
                <w:i w:val="0"/>
                <w:color w:val="202020"/>
                <w:sz w:val="17"/>
              </w:rPr>
              <w:t>Concluir sobre existência, regularidade formal, suficiência e vínculo com o evento.</w:t>
            </w:r>
          </w:p>
        </w:tc>
      </w:tr>
      <w:tr>
        <w:tc>
          <w:tcPr>
            <w:tcW w:type="dxa" w:w="2700"/>
            <w:shd w:fill="EAF5EE"/>
            <w:vAlign w:val="center"/>
          </w:tcPr>
          <w:p>
            <w:pPr>
              <w:spacing w:after="0" w:line="276" w:lineRule="auto"/>
            </w:pPr>
            <w:r/>
            <w:r>
              <w:rPr>
                <w:rFonts w:ascii="Century Gothic" w:hAnsi="Century Gothic"/>
                <w:b/>
                <w:i w:val="0"/>
                <w:color w:val="07513A"/>
                <w:sz w:val="17"/>
              </w:rPr>
              <w:t>Cautela</w:t>
            </w:r>
          </w:p>
        </w:tc>
        <w:tc>
          <w:tcPr>
            <w:tcW w:type="dxa" w:w="6660"/>
            <w:shd w:fill="FFF2CC"/>
            <w:vAlign w:val="center"/>
          </w:tcPr>
          <w:p>
            <w:pPr>
              <w:spacing w:after="0" w:line="276" w:lineRule="auto"/>
            </w:pPr>
            <w:r/>
            <w:r>
              <w:rPr>
                <w:rFonts w:ascii="Century Gothic" w:hAnsi="Century Gothic"/>
                <w:b w:val="0"/>
                <w:i w:val="0"/>
                <w:color w:val="202020"/>
                <w:sz w:val="17"/>
              </w:rPr>
              <w:t>Não confundir autorização genérica na LOA com abertura e registro efetivo do crédito.</w:t>
            </w:r>
          </w:p>
        </w:tc>
      </w:tr>
    </w:tbl>
    <w:p>
      <w:pPr>
        <w:pStyle w:val="Heading2"/>
        <w:keepNext/>
      </w:pPr>
      <w:r>
        <w:rPr>
          <w:rFonts w:ascii="Century Gothic" w:hAnsi="Century Gothic"/>
          <w:b/>
          <w:i w:val="0"/>
          <w:color w:val="07513A"/>
          <w:sz w:val="25"/>
        </w:rPr>
        <w:t>Procedimentos</w:t>
      </w:r>
    </w:p>
    <w:p>
      <w:pPr>
        <w:pStyle w:val="ListBullet"/>
        <w:spacing w:after="80" w:line="300" w:lineRule="auto"/>
      </w:pPr>
      <w:r>
        <w:rPr>
          <w:rFonts w:ascii="Century Gothic" w:hAnsi="Century Gothic"/>
          <w:b w:val="0"/>
          <w:i w:val="0"/>
          <w:color w:val="202020"/>
          <w:sz w:val="19"/>
        </w:rPr>
        <w:t>Identificar a dotação usada em cada empenho.</w:t>
      </w:r>
    </w:p>
    <w:p>
      <w:pPr>
        <w:pStyle w:val="ListBullet"/>
        <w:spacing w:after="80" w:line="300" w:lineRule="auto"/>
      </w:pPr>
      <w:r>
        <w:rPr>
          <w:rFonts w:ascii="Century Gothic" w:hAnsi="Century Gothic"/>
          <w:b w:val="0"/>
          <w:i w:val="0"/>
          <w:color w:val="202020"/>
          <w:sz w:val="19"/>
        </w:rPr>
        <w:t>Vincular o crédito adicional ao ato autorizativo e à fonte de recursos.</w:t>
      </w:r>
    </w:p>
    <w:p>
      <w:pPr>
        <w:pStyle w:val="ListBullet"/>
        <w:spacing w:after="80" w:line="300" w:lineRule="auto"/>
      </w:pPr>
      <w:r>
        <w:rPr>
          <w:rFonts w:ascii="Century Gothic" w:hAnsi="Century Gothic"/>
          <w:b w:val="0"/>
          <w:i w:val="0"/>
          <w:color w:val="202020"/>
          <w:sz w:val="19"/>
        </w:rPr>
        <w:t>Testar data, vigência, publicação e contabilização.</w:t>
      </w:r>
    </w:p>
    <w:p>
      <w:pPr>
        <w:pStyle w:val="Heading2"/>
        <w:keepNext/>
      </w:pPr>
      <w:r>
        <w:rPr>
          <w:rFonts w:ascii="Century Gothic" w:hAnsi="Century Gothic"/>
          <w:b/>
          <w:i w:val="0"/>
          <w:color w:val="07513A"/>
          <w:sz w:val="25"/>
        </w:rPr>
        <w:t>Registro da conclusão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shd w:fill="EAF5EE"/>
            <w:vAlign w:val="center"/>
          </w:tcPr>
          <w:p>
            <w:pPr>
              <w:spacing w:after="0" w:line="276" w:lineRule="auto"/>
            </w:pPr>
            <w:r/>
            <w:r>
              <w:rPr>
                <w:rFonts w:ascii="Century Gothic" w:hAnsi="Century Gothic"/>
                <w:b/>
                <w:i w:val="0"/>
                <w:color w:val="07513A"/>
                <w:sz w:val="17"/>
              </w:rPr>
              <w:t>Resultado</w:t>
            </w:r>
          </w:p>
        </w:tc>
        <w:tc>
          <w:tcPr>
            <w:tcW w:type="dxa" w:w="6660"/>
            <w:shd w:fill="FFF2CC"/>
            <w:vAlign w:val="center"/>
          </w:tcPr>
          <w:p>
            <w:pPr>
              <w:spacing w:after="0" w:line="276" w:lineRule="auto"/>
            </w:pPr>
            <w:r/>
            <w:r>
              <w:rPr>
                <w:rFonts w:ascii="Century Gothic" w:hAnsi="Century Gothic"/>
                <w:b w:val="0"/>
                <w:i w:val="0"/>
                <w:color w:val="202020"/>
                <w:sz w:val="17"/>
              </w:rPr>
              <w:t>Selecionar: comprovado · não comprovado · indício · inconclusivo · não aplicável</w:t>
            </w:r>
          </w:p>
        </w:tc>
      </w:tr>
      <w:tr>
        <w:tc>
          <w:tcPr>
            <w:tcW w:type="dxa" w:w="2700"/>
            <w:shd w:fill="EAF5EE"/>
            <w:vAlign w:val="center"/>
          </w:tcPr>
          <w:p>
            <w:pPr>
              <w:spacing w:after="0" w:line="276" w:lineRule="auto"/>
            </w:pPr>
            <w:r/>
            <w:r>
              <w:rPr>
                <w:rFonts w:ascii="Century Gothic" w:hAnsi="Century Gothic"/>
                <w:b/>
                <w:i w:val="0"/>
                <w:color w:val="07513A"/>
                <w:sz w:val="17"/>
              </w:rPr>
              <w:t>Evidência-chave</w:t>
            </w:r>
          </w:p>
        </w:tc>
        <w:tc>
          <w:tcPr>
            <w:tcW w:type="dxa" w:w="6660"/>
            <w:shd w:fill="FFF2CC"/>
            <w:vAlign w:val="center"/>
          </w:tcPr>
          <w:p>
            <w:pPr>
              <w:spacing w:after="0" w:line="276" w:lineRule="auto"/>
            </w:pPr>
            <w:r/>
            <w:r>
              <w:rPr>
                <w:rFonts w:ascii="Century Gothic" w:hAnsi="Century Gothic"/>
                <w:b w:val="0"/>
                <w:i w:val="0"/>
                <w:color w:val="202020"/>
                <w:sz w:val="17"/>
              </w:rPr>
              <w:t>Indicar documento, página/linha, competência e data da coleta.</w:t>
            </w:r>
          </w:p>
        </w:tc>
      </w:tr>
      <w:tr>
        <w:tc>
          <w:tcPr>
            <w:tcW w:type="dxa" w:w="2700"/>
            <w:shd w:fill="EAF5EE"/>
            <w:vAlign w:val="center"/>
          </w:tcPr>
          <w:p>
            <w:pPr>
              <w:spacing w:after="0" w:line="276" w:lineRule="auto"/>
            </w:pPr>
            <w:r/>
            <w:r>
              <w:rPr>
                <w:rFonts w:ascii="Century Gothic" w:hAnsi="Century Gothic"/>
                <w:b/>
                <w:i w:val="0"/>
                <w:color w:val="07513A"/>
                <w:sz w:val="17"/>
              </w:rPr>
              <w:t>Resposta objetiva</w:t>
            </w:r>
          </w:p>
        </w:tc>
        <w:tc>
          <w:tcPr>
            <w:tcW w:type="dxa" w:w="6660"/>
            <w:shd w:fill="FFF2CC"/>
            <w:vAlign w:val="center"/>
          </w:tcPr>
          <w:p>
            <w:pPr>
              <w:spacing w:after="0" w:line="276" w:lineRule="auto"/>
            </w:pPr>
            <w:r/>
            <w:r>
              <w:rPr>
                <w:rFonts w:ascii="Century Gothic" w:hAnsi="Century Gothic"/>
                <w:b w:val="0"/>
                <w:i w:val="0"/>
                <w:color w:val="202020"/>
                <w:sz w:val="17"/>
              </w:rPr>
              <w:t>Redigir em até 180 palavras, iniciando pelo resultado e pela base numérica.</w:t>
            </w:r>
          </w:p>
        </w:tc>
      </w:tr>
      <w:tr>
        <w:tc>
          <w:tcPr>
            <w:tcW w:type="dxa" w:w="2700"/>
            <w:shd w:fill="EAF5EE"/>
            <w:vAlign w:val="center"/>
          </w:tcPr>
          <w:p>
            <w:pPr>
              <w:spacing w:after="0" w:line="276" w:lineRule="auto"/>
            </w:pPr>
            <w:r/>
            <w:r>
              <w:rPr>
                <w:rFonts w:ascii="Century Gothic" w:hAnsi="Century Gothic"/>
                <w:b/>
                <w:i w:val="0"/>
                <w:color w:val="07513A"/>
                <w:sz w:val="17"/>
              </w:rPr>
              <w:t>Limitação/diligência</w:t>
            </w:r>
          </w:p>
        </w:tc>
        <w:tc>
          <w:tcPr>
            <w:tcW w:type="dxa" w:w="6660"/>
            <w:shd w:fill="FFF2CC"/>
            <w:vAlign w:val="center"/>
          </w:tcPr>
          <w:p>
            <w:pPr>
              <w:spacing w:after="0" w:line="276" w:lineRule="auto"/>
            </w:pPr>
            <w:r/>
            <w:r>
              <w:rPr>
                <w:rFonts w:ascii="Century Gothic" w:hAnsi="Century Gothic"/>
                <w:b w:val="0"/>
                <w:i w:val="0"/>
                <w:color w:val="202020"/>
                <w:sz w:val="17"/>
              </w:rPr>
              <w:t>Indicar exatamente o documento faltante e o efeito sobre a conclusão.</w:t>
            </w:r>
          </w:p>
        </w:tc>
      </w:tr>
      <w:tr>
        <w:tc>
          <w:tcPr>
            <w:tcW w:type="dxa" w:w="2700"/>
            <w:shd w:fill="EAF5EE"/>
            <w:vAlign w:val="center"/>
          </w:tcPr>
          <w:p>
            <w:pPr>
              <w:spacing w:after="0" w:line="276" w:lineRule="auto"/>
            </w:pPr>
            <w:r/>
            <w:r>
              <w:rPr>
                <w:rFonts w:ascii="Century Gothic" w:hAnsi="Century Gothic"/>
                <w:b/>
                <w:i w:val="0"/>
                <w:color w:val="07513A"/>
                <w:sz w:val="17"/>
              </w:rPr>
              <w:t>Revisão</w:t>
            </w:r>
          </w:p>
        </w:tc>
        <w:tc>
          <w:tcPr>
            <w:tcW w:type="dxa" w:w="6660"/>
            <w:shd w:fill="FFF2CC"/>
            <w:vAlign w:val="center"/>
          </w:tcPr>
          <w:p>
            <w:pPr>
              <w:spacing w:after="0" w:line="276" w:lineRule="auto"/>
            </w:pPr>
            <w:r/>
            <w:r>
              <w:rPr>
                <w:rFonts w:ascii="Century Gothic" w:hAnsi="Century Gothic"/>
                <w:b w:val="0"/>
                <w:i w:val="0"/>
                <w:color w:val="202020"/>
                <w:sz w:val="17"/>
              </w:rPr>
              <w:t>Revisor, data e decisão sobre o texto final.</w:t>
            </w:r>
          </w:p>
        </w:tc>
      </w:tr>
    </w:tbl>
    <w:p>
      <w:pPr>
        <w:pageBreakBefore/>
        <w:spacing w:after="100"/>
      </w:pPr>
      <w:r>
        <w:rPr>
          <w:rFonts w:ascii="Century Gothic" w:hAnsi="Century Gothic"/>
          <w:b/>
          <w:i w:val="0"/>
          <w:color w:val="D8A928"/>
          <w:sz w:val="19"/>
        </w:rPr>
        <w:t>QF-07 · QUESITO 7</w:t>
      </w:r>
    </w:p>
    <w:p>
      <w:pPr>
        <w:keepNext/>
        <w:spacing w:after="200"/>
      </w:pPr>
      <w:r>
        <w:rPr>
          <w:rFonts w:ascii="Century Gothic" w:hAnsi="Century Gothic"/>
          <w:b/>
          <w:i w:val="0"/>
          <w:color w:val="07513A"/>
          <w:sz w:val="29"/>
        </w:rPr>
        <w:t>Houve alterações em resultado orçamentário, disponibilidade de caixa ou restos a pagar que possam indicar comprometimento financeiro decorrente da despesa?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shd w:fill="07513A"/>
            <w:vAlign w:val="center"/>
          </w:tcPr>
          <w:p>
            <w:pPr>
              <w:spacing w:after="0" w:line="276" w:lineRule="auto"/>
            </w:pPr>
            <w:r/>
            <w:r>
              <w:rPr>
                <w:rFonts w:ascii="Century Gothic" w:hAnsi="Century Gothic"/>
                <w:b/>
                <w:i w:val="0"/>
                <w:color w:val="FFFFFF"/>
                <w:sz w:val="17"/>
              </w:rPr>
              <w:t>Objetivo do teste</w:t>
            </w:r>
          </w:p>
        </w:tc>
        <w:tc>
          <w:tcPr>
            <w:tcW w:type="dxa" w:w="6660"/>
            <w:shd w:fill="F4F7F5"/>
            <w:vAlign w:val="center"/>
          </w:tcPr>
          <w:p>
            <w:pPr>
              <w:spacing w:after="0" w:line="276" w:lineRule="auto"/>
            </w:pPr>
            <w:r/>
            <w:r>
              <w:rPr>
                <w:rFonts w:ascii="Century Gothic" w:hAnsi="Century Gothic"/>
                <w:b w:val="0"/>
                <w:i w:val="0"/>
                <w:color w:val="202020"/>
                <w:sz w:val="17"/>
              </w:rPr>
              <w:t>Reproduzir indicadores fiscais e procurar nexo documentado.</w:t>
            </w:r>
          </w:p>
        </w:tc>
      </w:tr>
      <w:tr>
        <w:tc>
          <w:tcPr>
            <w:tcW w:type="dxa" w:w="2700"/>
            <w:shd w:fill="EAF5EE"/>
            <w:vAlign w:val="center"/>
          </w:tcPr>
          <w:p>
            <w:pPr>
              <w:spacing w:after="0" w:line="276" w:lineRule="auto"/>
            </w:pPr>
            <w:r/>
            <w:r>
              <w:rPr>
                <w:rFonts w:ascii="Century Gothic" w:hAnsi="Century Gothic"/>
                <w:b/>
                <w:i w:val="0"/>
                <w:color w:val="07513A"/>
                <w:sz w:val="17"/>
              </w:rPr>
              <w:t>Critério</w:t>
            </w:r>
          </w:p>
        </w:tc>
        <w:tc>
          <w:tcPr>
            <w:tcW w:type="dxa" w:w="6660"/>
            <w:shd w:fill="F4F7F5"/>
            <w:vAlign w:val="center"/>
          </w:tcPr>
          <w:p>
            <w:pPr>
              <w:spacing w:after="0" w:line="276" w:lineRule="auto"/>
            </w:pPr>
            <w:r/>
            <w:r>
              <w:rPr>
                <w:rFonts w:ascii="Century Gothic" w:hAnsi="Century Gothic"/>
                <w:b w:val="0"/>
                <w:i w:val="0"/>
                <w:color w:val="202020"/>
                <w:sz w:val="17"/>
              </w:rPr>
              <w:t>LRF; MDF; MCASP.</w:t>
            </w:r>
          </w:p>
        </w:tc>
      </w:tr>
      <w:tr>
        <w:tc>
          <w:tcPr>
            <w:tcW w:type="dxa" w:w="2700"/>
            <w:shd w:fill="EAF5EE"/>
            <w:vAlign w:val="center"/>
          </w:tcPr>
          <w:p>
            <w:pPr>
              <w:spacing w:after="0" w:line="276" w:lineRule="auto"/>
            </w:pPr>
            <w:r/>
            <w:r>
              <w:rPr>
                <w:rFonts w:ascii="Century Gothic" w:hAnsi="Century Gothic"/>
                <w:b/>
                <w:i w:val="0"/>
                <w:color w:val="07513A"/>
                <w:sz w:val="17"/>
              </w:rPr>
              <w:t>Evidências mínimas</w:t>
            </w:r>
          </w:p>
        </w:tc>
        <w:tc>
          <w:tcPr>
            <w:tcW w:type="dxa" w:w="6660"/>
            <w:shd w:fill="F4F7F5"/>
            <w:vAlign w:val="center"/>
          </w:tcPr>
          <w:p>
            <w:pPr>
              <w:spacing w:after="0" w:line="276" w:lineRule="auto"/>
            </w:pPr>
            <w:r/>
            <w:r>
              <w:rPr>
                <w:rFonts w:ascii="Century Gothic" w:hAnsi="Century Gothic"/>
                <w:b w:val="0"/>
                <w:i w:val="0"/>
                <w:color w:val="202020"/>
                <w:sz w:val="17"/>
              </w:rPr>
              <w:t>RREO, RGF, balanços, bancos, RP, exercício anterior e posterior.</w:t>
            </w:r>
          </w:p>
        </w:tc>
      </w:tr>
      <w:tr>
        <w:tc>
          <w:tcPr>
            <w:tcW w:type="dxa" w:w="2700"/>
            <w:shd w:fill="EAF5EE"/>
            <w:vAlign w:val="center"/>
          </w:tcPr>
          <w:p>
            <w:pPr>
              <w:spacing w:after="0" w:line="276" w:lineRule="auto"/>
            </w:pPr>
            <w:r/>
            <w:r>
              <w:rPr>
                <w:rFonts w:ascii="Century Gothic" w:hAnsi="Century Gothic"/>
                <w:b/>
                <w:i w:val="0"/>
                <w:color w:val="07513A"/>
                <w:sz w:val="17"/>
              </w:rPr>
              <w:t>Memória de cálculo</w:t>
            </w:r>
          </w:p>
        </w:tc>
        <w:tc>
          <w:tcPr>
            <w:tcW w:type="dxa" w:w="6660"/>
            <w:shd w:fill="F4F7F5"/>
            <w:vAlign w:val="center"/>
          </w:tcPr>
          <w:p>
            <w:pPr>
              <w:spacing w:after="0" w:line="276" w:lineRule="auto"/>
            </w:pPr>
            <w:r/>
            <w:r>
              <w:rPr>
                <w:rFonts w:ascii="Century Gothic" w:hAnsi="Century Gothic"/>
                <w:b w:val="0"/>
                <w:i w:val="0"/>
                <w:color w:val="202020"/>
                <w:sz w:val="17"/>
              </w:rPr>
              <w:t>Resultado = receita realizada − despesa empenhada; variação de caixa e RP por período; indicadores por fonte quando exigido.</w:t>
            </w:r>
          </w:p>
        </w:tc>
      </w:tr>
      <w:tr>
        <w:tc>
          <w:tcPr>
            <w:tcW w:type="dxa" w:w="2700"/>
            <w:shd w:fill="EAF5EE"/>
            <w:vAlign w:val="center"/>
          </w:tcPr>
          <w:p>
            <w:pPr>
              <w:spacing w:after="0" w:line="276" w:lineRule="auto"/>
            </w:pPr>
            <w:r/>
            <w:r>
              <w:rPr>
                <w:rFonts w:ascii="Century Gothic" w:hAnsi="Century Gothic"/>
                <w:b/>
                <w:i w:val="0"/>
                <w:color w:val="07513A"/>
                <w:sz w:val="17"/>
              </w:rPr>
              <w:t>Produto da resposta</w:t>
            </w:r>
          </w:p>
        </w:tc>
        <w:tc>
          <w:tcPr>
            <w:tcW w:type="dxa" w:w="6660"/>
            <w:shd w:fill="F4F7F5"/>
            <w:vAlign w:val="center"/>
          </w:tcPr>
          <w:p>
            <w:pPr>
              <w:spacing w:after="0" w:line="276" w:lineRule="auto"/>
            </w:pPr>
            <w:r/>
            <w:r>
              <w:rPr>
                <w:rFonts w:ascii="Century Gothic" w:hAnsi="Century Gothic"/>
                <w:b w:val="0"/>
                <w:i w:val="0"/>
                <w:color w:val="202020"/>
                <w:sz w:val="17"/>
              </w:rPr>
              <w:t>Série, variações, explicações e conclusão sobre indício ou insuficiência de nexo.</w:t>
            </w:r>
          </w:p>
        </w:tc>
      </w:tr>
      <w:tr>
        <w:tc>
          <w:tcPr>
            <w:tcW w:type="dxa" w:w="2700"/>
            <w:shd w:fill="EAF5EE"/>
            <w:vAlign w:val="center"/>
          </w:tcPr>
          <w:p>
            <w:pPr>
              <w:spacing w:after="0" w:line="276" w:lineRule="auto"/>
            </w:pPr>
            <w:r/>
            <w:r>
              <w:rPr>
                <w:rFonts w:ascii="Century Gothic" w:hAnsi="Century Gothic"/>
                <w:b/>
                <w:i w:val="0"/>
                <w:color w:val="07513A"/>
                <w:sz w:val="17"/>
              </w:rPr>
              <w:t>Cautela</w:t>
            </w:r>
          </w:p>
        </w:tc>
        <w:tc>
          <w:tcPr>
            <w:tcW w:type="dxa" w:w="6660"/>
            <w:shd w:fill="FFF2CC"/>
            <w:vAlign w:val="center"/>
          </w:tcPr>
          <w:p>
            <w:pPr>
              <w:spacing w:after="0" w:line="276" w:lineRule="auto"/>
            </w:pPr>
            <w:r/>
            <w:r>
              <w:rPr>
                <w:rFonts w:ascii="Century Gothic" w:hAnsi="Century Gothic"/>
                <w:b w:val="0"/>
                <w:i w:val="0"/>
                <w:color w:val="202020"/>
                <w:sz w:val="17"/>
              </w:rPr>
              <w:t>Não atribuir toda piora fiscal ao evento sem controlar outros fatores.</w:t>
            </w:r>
          </w:p>
        </w:tc>
      </w:tr>
    </w:tbl>
    <w:p>
      <w:pPr>
        <w:pStyle w:val="Heading2"/>
        <w:keepNext/>
      </w:pPr>
      <w:r>
        <w:rPr>
          <w:rFonts w:ascii="Century Gothic" w:hAnsi="Century Gothic"/>
          <w:b/>
          <w:i w:val="0"/>
          <w:color w:val="07513A"/>
          <w:sz w:val="25"/>
        </w:rPr>
        <w:t>Procedimentos</w:t>
      </w:r>
    </w:p>
    <w:p>
      <w:pPr>
        <w:pStyle w:val="ListBullet"/>
        <w:spacing w:after="80" w:line="300" w:lineRule="auto"/>
      </w:pPr>
      <w:r>
        <w:rPr>
          <w:rFonts w:ascii="Century Gothic" w:hAnsi="Century Gothic"/>
          <w:b w:val="0"/>
          <w:i w:val="0"/>
          <w:color w:val="202020"/>
          <w:sz w:val="19"/>
        </w:rPr>
        <w:t>Recalcular os indicadores com a mesma metodologia.</w:t>
      </w:r>
    </w:p>
    <w:p>
      <w:pPr>
        <w:pStyle w:val="ListBullet"/>
        <w:spacing w:after="80" w:line="300" w:lineRule="auto"/>
      </w:pPr>
      <w:r>
        <w:rPr>
          <w:rFonts w:ascii="Century Gothic" w:hAnsi="Century Gothic"/>
          <w:b w:val="0"/>
          <w:i w:val="0"/>
          <w:color w:val="202020"/>
          <w:sz w:val="19"/>
        </w:rPr>
        <w:t>Segregar por fonte quando aplicável.</w:t>
      </w:r>
    </w:p>
    <w:p>
      <w:pPr>
        <w:pStyle w:val="ListBullet"/>
        <w:spacing w:after="80" w:line="300" w:lineRule="auto"/>
      </w:pPr>
      <w:r>
        <w:rPr>
          <w:rFonts w:ascii="Century Gothic" w:hAnsi="Century Gothic"/>
          <w:b w:val="0"/>
          <w:i w:val="0"/>
          <w:color w:val="202020"/>
          <w:sz w:val="19"/>
        </w:rPr>
        <w:t>Comparar variações com cronologia do evento e outros fatos relevantes.</w:t>
      </w:r>
    </w:p>
    <w:p>
      <w:pPr>
        <w:pStyle w:val="Heading2"/>
        <w:keepNext/>
      </w:pPr>
      <w:r>
        <w:rPr>
          <w:rFonts w:ascii="Century Gothic" w:hAnsi="Century Gothic"/>
          <w:b/>
          <w:i w:val="0"/>
          <w:color w:val="07513A"/>
          <w:sz w:val="25"/>
        </w:rPr>
        <w:t>Registro da conclusão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shd w:fill="EAF5EE"/>
            <w:vAlign w:val="center"/>
          </w:tcPr>
          <w:p>
            <w:pPr>
              <w:spacing w:after="0" w:line="276" w:lineRule="auto"/>
            </w:pPr>
            <w:r/>
            <w:r>
              <w:rPr>
                <w:rFonts w:ascii="Century Gothic" w:hAnsi="Century Gothic"/>
                <w:b/>
                <w:i w:val="0"/>
                <w:color w:val="07513A"/>
                <w:sz w:val="17"/>
              </w:rPr>
              <w:t>Resultado</w:t>
            </w:r>
          </w:p>
        </w:tc>
        <w:tc>
          <w:tcPr>
            <w:tcW w:type="dxa" w:w="6660"/>
            <w:shd w:fill="FFF2CC"/>
            <w:vAlign w:val="center"/>
          </w:tcPr>
          <w:p>
            <w:pPr>
              <w:spacing w:after="0" w:line="276" w:lineRule="auto"/>
            </w:pPr>
            <w:r/>
            <w:r>
              <w:rPr>
                <w:rFonts w:ascii="Century Gothic" w:hAnsi="Century Gothic"/>
                <w:b w:val="0"/>
                <w:i w:val="0"/>
                <w:color w:val="202020"/>
                <w:sz w:val="17"/>
              </w:rPr>
              <w:t>Selecionar: comprovado · não comprovado · indício · inconclusivo · não aplicável</w:t>
            </w:r>
          </w:p>
        </w:tc>
      </w:tr>
      <w:tr>
        <w:tc>
          <w:tcPr>
            <w:tcW w:type="dxa" w:w="2700"/>
            <w:shd w:fill="EAF5EE"/>
            <w:vAlign w:val="center"/>
          </w:tcPr>
          <w:p>
            <w:pPr>
              <w:spacing w:after="0" w:line="276" w:lineRule="auto"/>
            </w:pPr>
            <w:r/>
            <w:r>
              <w:rPr>
                <w:rFonts w:ascii="Century Gothic" w:hAnsi="Century Gothic"/>
                <w:b/>
                <w:i w:val="0"/>
                <w:color w:val="07513A"/>
                <w:sz w:val="17"/>
              </w:rPr>
              <w:t>Evidência-chave</w:t>
            </w:r>
          </w:p>
        </w:tc>
        <w:tc>
          <w:tcPr>
            <w:tcW w:type="dxa" w:w="6660"/>
            <w:shd w:fill="FFF2CC"/>
            <w:vAlign w:val="center"/>
          </w:tcPr>
          <w:p>
            <w:pPr>
              <w:spacing w:after="0" w:line="276" w:lineRule="auto"/>
            </w:pPr>
            <w:r/>
            <w:r>
              <w:rPr>
                <w:rFonts w:ascii="Century Gothic" w:hAnsi="Century Gothic"/>
                <w:b w:val="0"/>
                <w:i w:val="0"/>
                <w:color w:val="202020"/>
                <w:sz w:val="17"/>
              </w:rPr>
              <w:t>Indicar documento, página/linha, competência e data da coleta.</w:t>
            </w:r>
          </w:p>
        </w:tc>
      </w:tr>
      <w:tr>
        <w:tc>
          <w:tcPr>
            <w:tcW w:type="dxa" w:w="2700"/>
            <w:shd w:fill="EAF5EE"/>
            <w:vAlign w:val="center"/>
          </w:tcPr>
          <w:p>
            <w:pPr>
              <w:spacing w:after="0" w:line="276" w:lineRule="auto"/>
            </w:pPr>
            <w:r/>
            <w:r>
              <w:rPr>
                <w:rFonts w:ascii="Century Gothic" w:hAnsi="Century Gothic"/>
                <w:b/>
                <w:i w:val="0"/>
                <w:color w:val="07513A"/>
                <w:sz w:val="17"/>
              </w:rPr>
              <w:t>Resposta objetiva</w:t>
            </w:r>
          </w:p>
        </w:tc>
        <w:tc>
          <w:tcPr>
            <w:tcW w:type="dxa" w:w="6660"/>
            <w:shd w:fill="FFF2CC"/>
            <w:vAlign w:val="center"/>
          </w:tcPr>
          <w:p>
            <w:pPr>
              <w:spacing w:after="0" w:line="276" w:lineRule="auto"/>
            </w:pPr>
            <w:r/>
            <w:r>
              <w:rPr>
                <w:rFonts w:ascii="Century Gothic" w:hAnsi="Century Gothic"/>
                <w:b w:val="0"/>
                <w:i w:val="0"/>
                <w:color w:val="202020"/>
                <w:sz w:val="17"/>
              </w:rPr>
              <w:t>Redigir em até 180 palavras, iniciando pelo resultado e pela base numérica.</w:t>
            </w:r>
          </w:p>
        </w:tc>
      </w:tr>
      <w:tr>
        <w:tc>
          <w:tcPr>
            <w:tcW w:type="dxa" w:w="2700"/>
            <w:shd w:fill="EAF5EE"/>
            <w:vAlign w:val="center"/>
          </w:tcPr>
          <w:p>
            <w:pPr>
              <w:spacing w:after="0" w:line="276" w:lineRule="auto"/>
            </w:pPr>
            <w:r/>
            <w:r>
              <w:rPr>
                <w:rFonts w:ascii="Century Gothic" w:hAnsi="Century Gothic"/>
                <w:b/>
                <w:i w:val="0"/>
                <w:color w:val="07513A"/>
                <w:sz w:val="17"/>
              </w:rPr>
              <w:t>Limitação/diligência</w:t>
            </w:r>
          </w:p>
        </w:tc>
        <w:tc>
          <w:tcPr>
            <w:tcW w:type="dxa" w:w="6660"/>
            <w:shd w:fill="FFF2CC"/>
            <w:vAlign w:val="center"/>
          </w:tcPr>
          <w:p>
            <w:pPr>
              <w:spacing w:after="0" w:line="276" w:lineRule="auto"/>
            </w:pPr>
            <w:r/>
            <w:r>
              <w:rPr>
                <w:rFonts w:ascii="Century Gothic" w:hAnsi="Century Gothic"/>
                <w:b w:val="0"/>
                <w:i w:val="0"/>
                <w:color w:val="202020"/>
                <w:sz w:val="17"/>
              </w:rPr>
              <w:t>Indicar exatamente o documento faltante e o efeito sobre a conclusão.</w:t>
            </w:r>
          </w:p>
        </w:tc>
      </w:tr>
      <w:tr>
        <w:tc>
          <w:tcPr>
            <w:tcW w:type="dxa" w:w="2700"/>
            <w:shd w:fill="EAF5EE"/>
            <w:vAlign w:val="center"/>
          </w:tcPr>
          <w:p>
            <w:pPr>
              <w:spacing w:after="0" w:line="276" w:lineRule="auto"/>
            </w:pPr>
            <w:r/>
            <w:r>
              <w:rPr>
                <w:rFonts w:ascii="Century Gothic" w:hAnsi="Century Gothic"/>
                <w:b/>
                <w:i w:val="0"/>
                <w:color w:val="07513A"/>
                <w:sz w:val="17"/>
              </w:rPr>
              <w:t>Revisão</w:t>
            </w:r>
          </w:p>
        </w:tc>
        <w:tc>
          <w:tcPr>
            <w:tcW w:type="dxa" w:w="6660"/>
            <w:shd w:fill="FFF2CC"/>
            <w:vAlign w:val="center"/>
          </w:tcPr>
          <w:p>
            <w:pPr>
              <w:spacing w:after="0" w:line="276" w:lineRule="auto"/>
            </w:pPr>
            <w:r/>
            <w:r>
              <w:rPr>
                <w:rFonts w:ascii="Century Gothic" w:hAnsi="Century Gothic"/>
                <w:b w:val="0"/>
                <w:i w:val="0"/>
                <w:color w:val="202020"/>
                <w:sz w:val="17"/>
              </w:rPr>
              <w:t>Revisor, data e decisão sobre o texto final.</w:t>
            </w:r>
          </w:p>
        </w:tc>
      </w:tr>
    </w:tbl>
    <w:p>
      <w:pPr>
        <w:pageBreakBefore/>
        <w:spacing w:after="100"/>
      </w:pPr>
      <w:r>
        <w:rPr>
          <w:rFonts w:ascii="Century Gothic" w:hAnsi="Century Gothic"/>
          <w:b/>
          <w:i w:val="0"/>
          <w:color w:val="D8A928"/>
          <w:sz w:val="19"/>
        </w:rPr>
        <w:t>QF-08 · QUESITO 8</w:t>
      </w:r>
    </w:p>
    <w:p>
      <w:pPr>
        <w:keepNext/>
        <w:spacing w:after="200"/>
      </w:pPr>
      <w:r>
        <w:rPr>
          <w:rFonts w:ascii="Century Gothic" w:hAnsi="Century Gothic"/>
          <w:b/>
          <w:i w:val="0"/>
          <w:color w:val="07513A"/>
          <w:sz w:val="29"/>
        </w:rPr>
        <w:t>A execução orçamentária indica priorização indevida de despesas festivas em detrimento da estiagem ou de políticas públicas essenciais?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shd w:fill="07513A"/>
            <w:vAlign w:val="center"/>
          </w:tcPr>
          <w:p>
            <w:pPr>
              <w:spacing w:after="0" w:line="276" w:lineRule="auto"/>
            </w:pPr>
            <w:r/>
            <w:r>
              <w:rPr>
                <w:rFonts w:ascii="Century Gothic" w:hAnsi="Century Gothic"/>
                <w:b/>
                <w:i w:val="0"/>
                <w:color w:val="FFFFFF"/>
                <w:sz w:val="17"/>
              </w:rPr>
              <w:t>Objetivo do teste</w:t>
            </w:r>
          </w:p>
        </w:tc>
        <w:tc>
          <w:tcPr>
            <w:tcW w:type="dxa" w:w="6660"/>
            <w:shd w:fill="F4F7F5"/>
            <w:vAlign w:val="center"/>
          </w:tcPr>
          <w:p>
            <w:pPr>
              <w:spacing w:after="0" w:line="276" w:lineRule="auto"/>
            </w:pPr>
            <w:r/>
            <w:r>
              <w:rPr>
                <w:rFonts w:ascii="Century Gothic" w:hAnsi="Century Gothic"/>
                <w:b w:val="0"/>
                <w:i w:val="0"/>
                <w:color w:val="202020"/>
                <w:sz w:val="17"/>
              </w:rPr>
              <w:t>Comparar planejamento, execução e demandas documentadas das políticas relevantes.</w:t>
            </w:r>
          </w:p>
        </w:tc>
      </w:tr>
      <w:tr>
        <w:tc>
          <w:tcPr>
            <w:tcW w:type="dxa" w:w="2700"/>
            <w:shd w:fill="EAF5EE"/>
            <w:vAlign w:val="center"/>
          </w:tcPr>
          <w:p>
            <w:pPr>
              <w:spacing w:after="0" w:line="276" w:lineRule="auto"/>
            </w:pPr>
            <w:r/>
            <w:r>
              <w:rPr>
                <w:rFonts w:ascii="Century Gothic" w:hAnsi="Century Gothic"/>
                <w:b/>
                <w:i w:val="0"/>
                <w:color w:val="07513A"/>
                <w:sz w:val="17"/>
              </w:rPr>
              <w:t>Critério</w:t>
            </w:r>
          </w:p>
        </w:tc>
        <w:tc>
          <w:tcPr>
            <w:tcW w:type="dxa" w:w="6660"/>
            <w:shd w:fill="F4F7F5"/>
            <w:vAlign w:val="center"/>
          </w:tcPr>
          <w:p>
            <w:pPr>
              <w:spacing w:after="0" w:line="276" w:lineRule="auto"/>
            </w:pPr>
            <w:r/>
            <w:r>
              <w:rPr>
                <w:rFonts w:ascii="Century Gothic" w:hAnsi="Century Gothic"/>
                <w:b w:val="0"/>
                <w:i w:val="0"/>
                <w:color w:val="202020"/>
                <w:sz w:val="17"/>
              </w:rPr>
              <w:t>PPA, LDO, LOA, instrumentos setoriais, LRF e atos de emergência.</w:t>
            </w:r>
          </w:p>
        </w:tc>
      </w:tr>
      <w:tr>
        <w:tc>
          <w:tcPr>
            <w:tcW w:type="dxa" w:w="2700"/>
            <w:shd w:fill="EAF5EE"/>
            <w:vAlign w:val="center"/>
          </w:tcPr>
          <w:p>
            <w:pPr>
              <w:spacing w:after="0" w:line="276" w:lineRule="auto"/>
            </w:pPr>
            <w:r/>
            <w:r>
              <w:rPr>
                <w:rFonts w:ascii="Century Gothic" w:hAnsi="Century Gothic"/>
                <w:b/>
                <w:i w:val="0"/>
                <w:color w:val="07513A"/>
                <w:sz w:val="17"/>
              </w:rPr>
              <w:t>Evidências mínimas</w:t>
            </w:r>
          </w:p>
        </w:tc>
        <w:tc>
          <w:tcPr>
            <w:tcW w:type="dxa" w:w="6660"/>
            <w:shd w:fill="F4F7F5"/>
            <w:vAlign w:val="center"/>
          </w:tcPr>
          <w:p>
            <w:pPr>
              <w:spacing w:after="0" w:line="276" w:lineRule="auto"/>
            </w:pPr>
            <w:r/>
            <w:r>
              <w:rPr>
                <w:rFonts w:ascii="Century Gothic" w:hAnsi="Century Gothic"/>
                <w:b w:val="0"/>
                <w:i w:val="0"/>
                <w:color w:val="202020"/>
                <w:sz w:val="17"/>
              </w:rPr>
              <w:t>Execução por função/programa, metas físicas, plano de emergência, demandas não atendidas, atrasos e serviços essenciais.</w:t>
            </w:r>
          </w:p>
        </w:tc>
      </w:tr>
      <w:tr>
        <w:tc>
          <w:tcPr>
            <w:tcW w:type="dxa" w:w="2700"/>
            <w:shd w:fill="EAF5EE"/>
            <w:vAlign w:val="center"/>
          </w:tcPr>
          <w:p>
            <w:pPr>
              <w:spacing w:after="0" w:line="276" w:lineRule="auto"/>
            </w:pPr>
            <w:r/>
            <w:r>
              <w:rPr>
                <w:rFonts w:ascii="Century Gothic" w:hAnsi="Century Gothic"/>
                <w:b/>
                <w:i w:val="0"/>
                <w:color w:val="07513A"/>
                <w:sz w:val="17"/>
              </w:rPr>
              <w:t>Memória de cálculo</w:t>
            </w:r>
          </w:p>
        </w:tc>
        <w:tc>
          <w:tcPr>
            <w:tcW w:type="dxa" w:w="6660"/>
            <w:shd w:fill="F4F7F5"/>
            <w:vAlign w:val="center"/>
          </w:tcPr>
          <w:p>
            <w:pPr>
              <w:spacing w:after="0" w:line="276" w:lineRule="auto"/>
            </w:pPr>
            <w:r/>
            <w:r>
              <w:rPr>
                <w:rFonts w:ascii="Century Gothic" w:hAnsi="Century Gothic"/>
                <w:b w:val="0"/>
                <w:i w:val="0"/>
                <w:color w:val="202020"/>
                <w:sz w:val="17"/>
              </w:rPr>
              <w:t>Execução = pago ÷ dotação atualizada; variação de execução e metas por política; comparação com gasto do evento.</w:t>
            </w:r>
          </w:p>
        </w:tc>
      </w:tr>
      <w:tr>
        <w:tc>
          <w:tcPr>
            <w:tcW w:type="dxa" w:w="2700"/>
            <w:shd w:fill="EAF5EE"/>
            <w:vAlign w:val="center"/>
          </w:tcPr>
          <w:p>
            <w:pPr>
              <w:spacing w:after="0" w:line="276" w:lineRule="auto"/>
            </w:pPr>
            <w:r/>
            <w:r>
              <w:rPr>
                <w:rFonts w:ascii="Century Gothic" w:hAnsi="Century Gothic"/>
                <w:b/>
                <w:i w:val="0"/>
                <w:color w:val="07513A"/>
                <w:sz w:val="17"/>
              </w:rPr>
              <w:t>Produto da resposta</w:t>
            </w:r>
          </w:p>
        </w:tc>
        <w:tc>
          <w:tcPr>
            <w:tcW w:type="dxa" w:w="6660"/>
            <w:shd w:fill="F4F7F5"/>
            <w:vAlign w:val="center"/>
          </w:tcPr>
          <w:p>
            <w:pPr>
              <w:spacing w:after="0" w:line="276" w:lineRule="auto"/>
            </w:pPr>
            <w:r/>
            <w:r>
              <w:rPr>
                <w:rFonts w:ascii="Century Gothic" w:hAnsi="Century Gothic"/>
                <w:b w:val="0"/>
                <w:i w:val="0"/>
                <w:color w:val="202020"/>
                <w:sz w:val="17"/>
              </w:rPr>
              <w:t>Apontar incompatibilidades objetivas, limitações e itens que dependam de avaliação jurídica/política.</w:t>
            </w:r>
          </w:p>
        </w:tc>
      </w:tr>
      <w:tr>
        <w:tc>
          <w:tcPr>
            <w:tcW w:type="dxa" w:w="2700"/>
            <w:shd w:fill="EAF5EE"/>
            <w:vAlign w:val="center"/>
          </w:tcPr>
          <w:p>
            <w:pPr>
              <w:spacing w:after="0" w:line="276" w:lineRule="auto"/>
            </w:pPr>
            <w:r/>
            <w:r>
              <w:rPr>
                <w:rFonts w:ascii="Century Gothic" w:hAnsi="Century Gothic"/>
                <w:b/>
                <w:i w:val="0"/>
                <w:color w:val="07513A"/>
                <w:sz w:val="17"/>
              </w:rPr>
              <w:t>Cautela</w:t>
            </w:r>
          </w:p>
        </w:tc>
        <w:tc>
          <w:tcPr>
            <w:tcW w:type="dxa" w:w="6660"/>
            <w:shd w:fill="FFF2CC"/>
            <w:vAlign w:val="center"/>
          </w:tcPr>
          <w:p>
            <w:pPr>
              <w:spacing w:after="0" w:line="276" w:lineRule="auto"/>
            </w:pPr>
            <w:r/>
            <w:r>
              <w:rPr>
                <w:rFonts w:ascii="Century Gothic" w:hAnsi="Century Gothic"/>
                <w:b w:val="0"/>
                <w:i w:val="0"/>
                <w:color w:val="202020"/>
                <w:sz w:val="17"/>
              </w:rPr>
              <w:t>O contador descreve coerência orçamentária e fiscal; a qualificação de priorização indevida exige critério normativo e análise interdisciplinar.</w:t>
            </w:r>
          </w:p>
        </w:tc>
      </w:tr>
    </w:tbl>
    <w:p>
      <w:pPr>
        <w:pStyle w:val="Heading2"/>
        <w:keepNext/>
      </w:pPr>
      <w:r>
        <w:rPr>
          <w:rFonts w:ascii="Century Gothic" w:hAnsi="Century Gothic"/>
          <w:b/>
          <w:i w:val="0"/>
          <w:color w:val="07513A"/>
          <w:sz w:val="25"/>
        </w:rPr>
        <w:t>Procedimentos</w:t>
      </w:r>
    </w:p>
    <w:p>
      <w:pPr>
        <w:pStyle w:val="ListBullet"/>
        <w:spacing w:after="80" w:line="300" w:lineRule="auto"/>
      </w:pPr>
      <w:r>
        <w:rPr>
          <w:rFonts w:ascii="Century Gothic" w:hAnsi="Century Gothic"/>
          <w:b w:val="0"/>
          <w:i w:val="0"/>
          <w:color w:val="202020"/>
          <w:sz w:val="19"/>
        </w:rPr>
        <w:t>Identificar critérios objetivos de prioridade nos instrumentos locais.</w:t>
      </w:r>
    </w:p>
    <w:p>
      <w:pPr>
        <w:pStyle w:val="ListBullet"/>
        <w:spacing w:after="80" w:line="300" w:lineRule="auto"/>
      </w:pPr>
      <w:r>
        <w:rPr>
          <w:rFonts w:ascii="Century Gothic" w:hAnsi="Century Gothic"/>
          <w:b w:val="0"/>
          <w:i w:val="0"/>
          <w:color w:val="202020"/>
          <w:sz w:val="19"/>
        </w:rPr>
        <w:t>Comparar dotações, execução financeira e resultados físicos.</w:t>
      </w:r>
    </w:p>
    <w:p>
      <w:pPr>
        <w:pStyle w:val="ListBullet"/>
        <w:spacing w:after="80" w:line="300" w:lineRule="auto"/>
      </w:pPr>
      <w:r>
        <w:rPr>
          <w:rFonts w:ascii="Century Gothic" w:hAnsi="Century Gothic"/>
          <w:b w:val="0"/>
          <w:i w:val="0"/>
          <w:color w:val="202020"/>
          <w:sz w:val="19"/>
        </w:rPr>
        <w:t>Vincular eventual insuficiência a decisão orçamentária documentada e ao período do evento.</w:t>
      </w:r>
    </w:p>
    <w:p>
      <w:pPr>
        <w:pStyle w:val="Heading2"/>
        <w:keepNext/>
      </w:pPr>
      <w:r>
        <w:rPr>
          <w:rFonts w:ascii="Century Gothic" w:hAnsi="Century Gothic"/>
          <w:b/>
          <w:i w:val="0"/>
          <w:color w:val="07513A"/>
          <w:sz w:val="25"/>
        </w:rPr>
        <w:t>Registro da conclusão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shd w:fill="EAF5EE"/>
            <w:vAlign w:val="center"/>
          </w:tcPr>
          <w:p>
            <w:pPr>
              <w:spacing w:after="0" w:line="276" w:lineRule="auto"/>
            </w:pPr>
            <w:r/>
            <w:r>
              <w:rPr>
                <w:rFonts w:ascii="Century Gothic" w:hAnsi="Century Gothic"/>
                <w:b/>
                <w:i w:val="0"/>
                <w:color w:val="07513A"/>
                <w:sz w:val="17"/>
              </w:rPr>
              <w:t>Resultado</w:t>
            </w:r>
          </w:p>
        </w:tc>
        <w:tc>
          <w:tcPr>
            <w:tcW w:type="dxa" w:w="6660"/>
            <w:shd w:fill="FFF2CC"/>
            <w:vAlign w:val="center"/>
          </w:tcPr>
          <w:p>
            <w:pPr>
              <w:spacing w:after="0" w:line="276" w:lineRule="auto"/>
            </w:pPr>
            <w:r/>
            <w:r>
              <w:rPr>
                <w:rFonts w:ascii="Century Gothic" w:hAnsi="Century Gothic"/>
                <w:b w:val="0"/>
                <w:i w:val="0"/>
                <w:color w:val="202020"/>
                <w:sz w:val="17"/>
              </w:rPr>
              <w:t>Selecionar: comprovado · não comprovado · indício · inconclusivo · não aplicável</w:t>
            </w:r>
          </w:p>
        </w:tc>
      </w:tr>
      <w:tr>
        <w:tc>
          <w:tcPr>
            <w:tcW w:type="dxa" w:w="2700"/>
            <w:shd w:fill="EAF5EE"/>
            <w:vAlign w:val="center"/>
          </w:tcPr>
          <w:p>
            <w:pPr>
              <w:spacing w:after="0" w:line="276" w:lineRule="auto"/>
            </w:pPr>
            <w:r/>
            <w:r>
              <w:rPr>
                <w:rFonts w:ascii="Century Gothic" w:hAnsi="Century Gothic"/>
                <w:b/>
                <w:i w:val="0"/>
                <w:color w:val="07513A"/>
                <w:sz w:val="17"/>
              </w:rPr>
              <w:t>Evidência-chave</w:t>
            </w:r>
          </w:p>
        </w:tc>
        <w:tc>
          <w:tcPr>
            <w:tcW w:type="dxa" w:w="6660"/>
            <w:shd w:fill="FFF2CC"/>
            <w:vAlign w:val="center"/>
          </w:tcPr>
          <w:p>
            <w:pPr>
              <w:spacing w:after="0" w:line="276" w:lineRule="auto"/>
            </w:pPr>
            <w:r/>
            <w:r>
              <w:rPr>
                <w:rFonts w:ascii="Century Gothic" w:hAnsi="Century Gothic"/>
                <w:b w:val="0"/>
                <w:i w:val="0"/>
                <w:color w:val="202020"/>
                <w:sz w:val="17"/>
              </w:rPr>
              <w:t>Indicar documento, página/linha, competência e data da coleta.</w:t>
            </w:r>
          </w:p>
        </w:tc>
      </w:tr>
      <w:tr>
        <w:tc>
          <w:tcPr>
            <w:tcW w:type="dxa" w:w="2700"/>
            <w:shd w:fill="EAF5EE"/>
            <w:vAlign w:val="center"/>
          </w:tcPr>
          <w:p>
            <w:pPr>
              <w:spacing w:after="0" w:line="276" w:lineRule="auto"/>
            </w:pPr>
            <w:r/>
            <w:r>
              <w:rPr>
                <w:rFonts w:ascii="Century Gothic" w:hAnsi="Century Gothic"/>
                <w:b/>
                <w:i w:val="0"/>
                <w:color w:val="07513A"/>
                <w:sz w:val="17"/>
              </w:rPr>
              <w:t>Resposta objetiva</w:t>
            </w:r>
          </w:p>
        </w:tc>
        <w:tc>
          <w:tcPr>
            <w:tcW w:type="dxa" w:w="6660"/>
            <w:shd w:fill="FFF2CC"/>
            <w:vAlign w:val="center"/>
          </w:tcPr>
          <w:p>
            <w:pPr>
              <w:spacing w:after="0" w:line="276" w:lineRule="auto"/>
            </w:pPr>
            <w:r/>
            <w:r>
              <w:rPr>
                <w:rFonts w:ascii="Century Gothic" w:hAnsi="Century Gothic"/>
                <w:b w:val="0"/>
                <w:i w:val="0"/>
                <w:color w:val="202020"/>
                <w:sz w:val="17"/>
              </w:rPr>
              <w:t>Redigir em até 180 palavras, iniciando pelo resultado e pela base numérica.</w:t>
            </w:r>
          </w:p>
        </w:tc>
      </w:tr>
      <w:tr>
        <w:tc>
          <w:tcPr>
            <w:tcW w:type="dxa" w:w="2700"/>
            <w:shd w:fill="EAF5EE"/>
            <w:vAlign w:val="center"/>
          </w:tcPr>
          <w:p>
            <w:pPr>
              <w:spacing w:after="0" w:line="276" w:lineRule="auto"/>
            </w:pPr>
            <w:r/>
            <w:r>
              <w:rPr>
                <w:rFonts w:ascii="Century Gothic" w:hAnsi="Century Gothic"/>
                <w:b/>
                <w:i w:val="0"/>
                <w:color w:val="07513A"/>
                <w:sz w:val="17"/>
              </w:rPr>
              <w:t>Limitação/diligência</w:t>
            </w:r>
          </w:p>
        </w:tc>
        <w:tc>
          <w:tcPr>
            <w:tcW w:type="dxa" w:w="6660"/>
            <w:shd w:fill="FFF2CC"/>
            <w:vAlign w:val="center"/>
          </w:tcPr>
          <w:p>
            <w:pPr>
              <w:spacing w:after="0" w:line="276" w:lineRule="auto"/>
            </w:pPr>
            <w:r/>
            <w:r>
              <w:rPr>
                <w:rFonts w:ascii="Century Gothic" w:hAnsi="Century Gothic"/>
                <w:b w:val="0"/>
                <w:i w:val="0"/>
                <w:color w:val="202020"/>
                <w:sz w:val="17"/>
              </w:rPr>
              <w:t>Indicar exatamente o documento faltante e o efeito sobre a conclusão.</w:t>
            </w:r>
          </w:p>
        </w:tc>
      </w:tr>
      <w:tr>
        <w:tc>
          <w:tcPr>
            <w:tcW w:type="dxa" w:w="2700"/>
            <w:shd w:fill="EAF5EE"/>
            <w:vAlign w:val="center"/>
          </w:tcPr>
          <w:p>
            <w:pPr>
              <w:spacing w:after="0" w:line="276" w:lineRule="auto"/>
            </w:pPr>
            <w:r/>
            <w:r>
              <w:rPr>
                <w:rFonts w:ascii="Century Gothic" w:hAnsi="Century Gothic"/>
                <w:b/>
                <w:i w:val="0"/>
                <w:color w:val="07513A"/>
                <w:sz w:val="17"/>
              </w:rPr>
              <w:t>Revisão</w:t>
            </w:r>
          </w:p>
        </w:tc>
        <w:tc>
          <w:tcPr>
            <w:tcW w:type="dxa" w:w="6660"/>
            <w:shd w:fill="FFF2CC"/>
            <w:vAlign w:val="center"/>
          </w:tcPr>
          <w:p>
            <w:pPr>
              <w:spacing w:after="0" w:line="276" w:lineRule="auto"/>
            </w:pPr>
            <w:r/>
            <w:r>
              <w:rPr>
                <w:rFonts w:ascii="Century Gothic" w:hAnsi="Century Gothic"/>
                <w:b w:val="0"/>
                <w:i w:val="0"/>
                <w:color w:val="202020"/>
                <w:sz w:val="17"/>
              </w:rPr>
              <w:t>Revisor, data e decisão sobre o texto final.</w:t>
            </w:r>
          </w:p>
        </w:tc>
      </w:tr>
    </w:tbl>
    <w:p>
      <w:pPr>
        <w:pageBreakBefore/>
        <w:spacing w:after="100"/>
      </w:pPr>
      <w:r>
        <w:rPr>
          <w:rFonts w:ascii="Century Gothic" w:hAnsi="Century Gothic"/>
          <w:b/>
          <w:i w:val="0"/>
          <w:color w:val="D8A928"/>
          <w:sz w:val="19"/>
        </w:rPr>
        <w:t>QF-09 · QUESITO 9</w:t>
      </w:r>
    </w:p>
    <w:p>
      <w:pPr>
        <w:keepNext/>
        <w:spacing w:after="200"/>
      </w:pPr>
      <w:r>
        <w:rPr>
          <w:rFonts w:ascii="Century Gothic" w:hAnsi="Century Gothic"/>
          <w:b/>
          <w:i w:val="0"/>
          <w:color w:val="07513A"/>
          <w:sz w:val="29"/>
        </w:rPr>
        <w:t>Há coerência técnica entre os valores pagos, as dotações orçamentárias e os limites fiscais do exercício?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shd w:fill="07513A"/>
            <w:vAlign w:val="center"/>
          </w:tcPr>
          <w:p>
            <w:pPr>
              <w:spacing w:after="0" w:line="276" w:lineRule="auto"/>
            </w:pPr>
            <w:r/>
            <w:r>
              <w:rPr>
                <w:rFonts w:ascii="Century Gothic" w:hAnsi="Century Gothic"/>
                <w:b/>
                <w:i w:val="0"/>
                <w:color w:val="FFFFFF"/>
                <w:sz w:val="17"/>
              </w:rPr>
              <w:t>Objetivo do teste</w:t>
            </w:r>
          </w:p>
        </w:tc>
        <w:tc>
          <w:tcPr>
            <w:tcW w:type="dxa" w:w="6660"/>
            <w:shd w:fill="F4F7F5"/>
            <w:vAlign w:val="center"/>
          </w:tcPr>
          <w:p>
            <w:pPr>
              <w:spacing w:after="0" w:line="276" w:lineRule="auto"/>
            </w:pPr>
            <w:r/>
            <w:r>
              <w:rPr>
                <w:rFonts w:ascii="Century Gothic" w:hAnsi="Century Gothic"/>
                <w:b w:val="0"/>
                <w:i w:val="0"/>
                <w:color w:val="202020"/>
                <w:sz w:val="17"/>
              </w:rPr>
              <w:t>Integrar todos os testes em síntese conclusiva.</w:t>
            </w:r>
          </w:p>
        </w:tc>
      </w:tr>
      <w:tr>
        <w:tc>
          <w:tcPr>
            <w:tcW w:type="dxa" w:w="2700"/>
            <w:shd w:fill="EAF5EE"/>
            <w:vAlign w:val="center"/>
          </w:tcPr>
          <w:p>
            <w:pPr>
              <w:spacing w:after="0" w:line="276" w:lineRule="auto"/>
            </w:pPr>
            <w:r/>
            <w:r>
              <w:rPr>
                <w:rFonts w:ascii="Century Gothic" w:hAnsi="Century Gothic"/>
                <w:b/>
                <w:i w:val="0"/>
                <w:color w:val="07513A"/>
                <w:sz w:val="17"/>
              </w:rPr>
              <w:t>Critério</w:t>
            </w:r>
          </w:p>
        </w:tc>
        <w:tc>
          <w:tcPr>
            <w:tcW w:type="dxa" w:w="6660"/>
            <w:shd w:fill="F4F7F5"/>
            <w:vAlign w:val="center"/>
          </w:tcPr>
          <w:p>
            <w:pPr>
              <w:spacing w:after="0" w:line="276" w:lineRule="auto"/>
            </w:pPr>
            <w:r/>
            <w:r>
              <w:rPr>
                <w:rFonts w:ascii="Century Gothic" w:hAnsi="Century Gothic"/>
                <w:b w:val="0"/>
                <w:i w:val="0"/>
                <w:color w:val="202020"/>
                <w:sz w:val="17"/>
              </w:rPr>
              <w:t>Critérios dos QF-01 a QF-08.</w:t>
            </w:r>
          </w:p>
        </w:tc>
      </w:tr>
      <w:tr>
        <w:tc>
          <w:tcPr>
            <w:tcW w:type="dxa" w:w="2700"/>
            <w:shd w:fill="EAF5EE"/>
            <w:vAlign w:val="center"/>
          </w:tcPr>
          <w:p>
            <w:pPr>
              <w:spacing w:after="0" w:line="276" w:lineRule="auto"/>
            </w:pPr>
            <w:r/>
            <w:r>
              <w:rPr>
                <w:rFonts w:ascii="Century Gothic" w:hAnsi="Century Gothic"/>
                <w:b/>
                <w:i w:val="0"/>
                <w:color w:val="07513A"/>
                <w:sz w:val="17"/>
              </w:rPr>
              <w:t>Evidências mínimas</w:t>
            </w:r>
          </w:p>
        </w:tc>
        <w:tc>
          <w:tcPr>
            <w:tcW w:type="dxa" w:w="6660"/>
            <w:shd w:fill="F4F7F5"/>
            <w:vAlign w:val="center"/>
          </w:tcPr>
          <w:p>
            <w:pPr>
              <w:spacing w:after="0" w:line="276" w:lineRule="auto"/>
            </w:pPr>
            <w:r/>
            <w:r>
              <w:rPr>
                <w:rFonts w:ascii="Century Gothic" w:hAnsi="Century Gothic"/>
                <w:b w:val="0"/>
                <w:i w:val="0"/>
                <w:color w:val="202020"/>
                <w:sz w:val="17"/>
              </w:rPr>
              <w:t>Papéis revisados, memórias, matriz de achados e limitações.</w:t>
            </w:r>
          </w:p>
        </w:tc>
      </w:tr>
      <w:tr>
        <w:tc>
          <w:tcPr>
            <w:tcW w:type="dxa" w:w="2700"/>
            <w:shd w:fill="EAF5EE"/>
            <w:vAlign w:val="center"/>
          </w:tcPr>
          <w:p>
            <w:pPr>
              <w:spacing w:after="0" w:line="276" w:lineRule="auto"/>
            </w:pPr>
            <w:r/>
            <w:r>
              <w:rPr>
                <w:rFonts w:ascii="Century Gothic" w:hAnsi="Century Gothic"/>
                <w:b/>
                <w:i w:val="0"/>
                <w:color w:val="07513A"/>
                <w:sz w:val="17"/>
              </w:rPr>
              <w:t>Memória de cálculo</w:t>
            </w:r>
          </w:p>
        </w:tc>
        <w:tc>
          <w:tcPr>
            <w:tcW w:type="dxa" w:w="6660"/>
            <w:shd w:fill="F4F7F5"/>
            <w:vAlign w:val="center"/>
          </w:tcPr>
          <w:p>
            <w:pPr>
              <w:spacing w:after="0" w:line="276" w:lineRule="auto"/>
            </w:pPr>
            <w:r/>
            <w:r>
              <w:rPr>
                <w:rFonts w:ascii="Century Gothic" w:hAnsi="Century Gothic"/>
                <w:b w:val="0"/>
                <w:i w:val="0"/>
                <w:color w:val="202020"/>
                <w:sz w:val="17"/>
              </w:rPr>
              <w:t>Quadro-síntese: dotação atualizada, empenho líquido, liquidado, pago, materialidade, indicadores e exceções, sem somar fases.</w:t>
            </w:r>
          </w:p>
        </w:tc>
      </w:tr>
      <w:tr>
        <w:tc>
          <w:tcPr>
            <w:tcW w:type="dxa" w:w="2700"/>
            <w:shd w:fill="EAF5EE"/>
            <w:vAlign w:val="center"/>
          </w:tcPr>
          <w:p>
            <w:pPr>
              <w:spacing w:after="0" w:line="276" w:lineRule="auto"/>
            </w:pPr>
            <w:r/>
            <w:r>
              <w:rPr>
                <w:rFonts w:ascii="Century Gothic" w:hAnsi="Century Gothic"/>
                <w:b/>
                <w:i w:val="0"/>
                <w:color w:val="07513A"/>
                <w:sz w:val="17"/>
              </w:rPr>
              <w:t>Produto da resposta</w:t>
            </w:r>
          </w:p>
        </w:tc>
        <w:tc>
          <w:tcPr>
            <w:tcW w:type="dxa" w:w="6660"/>
            <w:shd w:fill="F4F7F5"/>
            <w:vAlign w:val="center"/>
          </w:tcPr>
          <w:p>
            <w:pPr>
              <w:spacing w:after="0" w:line="276" w:lineRule="auto"/>
            </w:pPr>
            <w:r/>
            <w:r>
              <w:rPr>
                <w:rFonts w:ascii="Century Gothic" w:hAnsi="Century Gothic"/>
                <w:b w:val="0"/>
                <w:i w:val="0"/>
                <w:color w:val="202020"/>
                <w:sz w:val="17"/>
              </w:rPr>
              <w:t>Resposta direta, fundamentação curta, limitações, diligências e conclusão proporcional.</w:t>
            </w:r>
          </w:p>
        </w:tc>
      </w:tr>
      <w:tr>
        <w:tc>
          <w:tcPr>
            <w:tcW w:type="dxa" w:w="2700"/>
            <w:shd w:fill="EAF5EE"/>
            <w:vAlign w:val="center"/>
          </w:tcPr>
          <w:p>
            <w:pPr>
              <w:spacing w:after="0" w:line="276" w:lineRule="auto"/>
            </w:pPr>
            <w:r/>
            <w:r>
              <w:rPr>
                <w:rFonts w:ascii="Century Gothic" w:hAnsi="Century Gothic"/>
                <w:b/>
                <w:i w:val="0"/>
                <w:color w:val="07513A"/>
                <w:sz w:val="17"/>
              </w:rPr>
              <w:t>Cautela</w:t>
            </w:r>
          </w:p>
        </w:tc>
        <w:tc>
          <w:tcPr>
            <w:tcW w:type="dxa" w:w="6660"/>
            <w:shd w:fill="FFF2CC"/>
            <w:vAlign w:val="center"/>
          </w:tcPr>
          <w:p>
            <w:pPr>
              <w:spacing w:after="0" w:line="276" w:lineRule="auto"/>
            </w:pPr>
            <w:r/>
            <w:r>
              <w:rPr>
                <w:rFonts w:ascii="Century Gothic" w:hAnsi="Century Gothic"/>
                <w:b w:val="0"/>
                <w:i w:val="0"/>
                <w:color w:val="202020"/>
                <w:sz w:val="17"/>
              </w:rPr>
              <w:t>A síntese deve se limitar aos documentos dos autos e não atribuir responsabilidade pessoal.</w:t>
            </w:r>
          </w:p>
        </w:tc>
      </w:tr>
    </w:tbl>
    <w:p>
      <w:pPr>
        <w:pStyle w:val="Heading2"/>
        <w:keepNext/>
      </w:pPr>
      <w:r>
        <w:rPr>
          <w:rFonts w:ascii="Century Gothic" w:hAnsi="Century Gothic"/>
          <w:b/>
          <w:i w:val="0"/>
          <w:color w:val="07513A"/>
          <w:sz w:val="25"/>
        </w:rPr>
        <w:t>Procedimentos</w:t>
      </w:r>
    </w:p>
    <w:p>
      <w:pPr>
        <w:pStyle w:val="ListBullet"/>
        <w:spacing w:after="80" w:line="300" w:lineRule="auto"/>
      </w:pPr>
      <w:r>
        <w:rPr>
          <w:rFonts w:ascii="Century Gothic" w:hAnsi="Century Gothic"/>
          <w:b w:val="0"/>
          <w:i w:val="0"/>
          <w:color w:val="202020"/>
          <w:sz w:val="19"/>
        </w:rPr>
        <w:t>Consolidar resultados sem duplicar valores.</w:t>
      </w:r>
    </w:p>
    <w:p>
      <w:pPr>
        <w:pStyle w:val="ListBullet"/>
        <w:spacing w:after="80" w:line="300" w:lineRule="auto"/>
      </w:pPr>
      <w:r>
        <w:rPr>
          <w:rFonts w:ascii="Century Gothic" w:hAnsi="Century Gothic"/>
          <w:b w:val="0"/>
          <w:i w:val="0"/>
          <w:color w:val="202020"/>
          <w:sz w:val="19"/>
        </w:rPr>
        <w:t>Separar fato comprovado, indício, limitação e diligência.</w:t>
      </w:r>
    </w:p>
    <w:p>
      <w:pPr>
        <w:pStyle w:val="ListBullet"/>
        <w:spacing w:after="80" w:line="300" w:lineRule="auto"/>
      </w:pPr>
      <w:r>
        <w:rPr>
          <w:rFonts w:ascii="Century Gothic" w:hAnsi="Century Gothic"/>
          <w:b w:val="0"/>
          <w:i w:val="0"/>
          <w:color w:val="202020"/>
          <w:sz w:val="19"/>
        </w:rPr>
        <w:t>Submeter a minuta à revisão técnica e ao contraditório quando cabível.</w:t>
      </w:r>
    </w:p>
    <w:p>
      <w:pPr>
        <w:pStyle w:val="Heading2"/>
        <w:keepNext/>
      </w:pPr>
      <w:r>
        <w:rPr>
          <w:rFonts w:ascii="Century Gothic" w:hAnsi="Century Gothic"/>
          <w:b/>
          <w:i w:val="0"/>
          <w:color w:val="07513A"/>
          <w:sz w:val="25"/>
        </w:rPr>
        <w:t>Registro da conclusão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shd w:fill="EAF5EE"/>
            <w:vAlign w:val="center"/>
          </w:tcPr>
          <w:p>
            <w:pPr>
              <w:spacing w:after="0" w:line="276" w:lineRule="auto"/>
            </w:pPr>
            <w:r/>
            <w:r>
              <w:rPr>
                <w:rFonts w:ascii="Century Gothic" w:hAnsi="Century Gothic"/>
                <w:b/>
                <w:i w:val="0"/>
                <w:color w:val="07513A"/>
                <w:sz w:val="17"/>
              </w:rPr>
              <w:t>Resultado</w:t>
            </w:r>
          </w:p>
        </w:tc>
        <w:tc>
          <w:tcPr>
            <w:tcW w:type="dxa" w:w="6660"/>
            <w:shd w:fill="FFF2CC"/>
            <w:vAlign w:val="center"/>
          </w:tcPr>
          <w:p>
            <w:pPr>
              <w:spacing w:after="0" w:line="276" w:lineRule="auto"/>
            </w:pPr>
            <w:r/>
            <w:r>
              <w:rPr>
                <w:rFonts w:ascii="Century Gothic" w:hAnsi="Century Gothic"/>
                <w:b w:val="0"/>
                <w:i w:val="0"/>
                <w:color w:val="202020"/>
                <w:sz w:val="17"/>
              </w:rPr>
              <w:t>Selecionar: comprovado · não comprovado · indício · inconclusivo · não aplicável</w:t>
            </w:r>
          </w:p>
        </w:tc>
      </w:tr>
      <w:tr>
        <w:tc>
          <w:tcPr>
            <w:tcW w:type="dxa" w:w="2700"/>
            <w:shd w:fill="EAF5EE"/>
            <w:vAlign w:val="center"/>
          </w:tcPr>
          <w:p>
            <w:pPr>
              <w:spacing w:after="0" w:line="276" w:lineRule="auto"/>
            </w:pPr>
            <w:r/>
            <w:r>
              <w:rPr>
                <w:rFonts w:ascii="Century Gothic" w:hAnsi="Century Gothic"/>
                <w:b/>
                <w:i w:val="0"/>
                <w:color w:val="07513A"/>
                <w:sz w:val="17"/>
              </w:rPr>
              <w:t>Evidência-chave</w:t>
            </w:r>
          </w:p>
        </w:tc>
        <w:tc>
          <w:tcPr>
            <w:tcW w:type="dxa" w:w="6660"/>
            <w:shd w:fill="FFF2CC"/>
            <w:vAlign w:val="center"/>
          </w:tcPr>
          <w:p>
            <w:pPr>
              <w:spacing w:after="0" w:line="276" w:lineRule="auto"/>
            </w:pPr>
            <w:r/>
            <w:r>
              <w:rPr>
                <w:rFonts w:ascii="Century Gothic" w:hAnsi="Century Gothic"/>
                <w:b w:val="0"/>
                <w:i w:val="0"/>
                <w:color w:val="202020"/>
                <w:sz w:val="17"/>
              </w:rPr>
              <w:t>Indicar documento, página/linha, competência e data da coleta.</w:t>
            </w:r>
          </w:p>
        </w:tc>
      </w:tr>
      <w:tr>
        <w:tc>
          <w:tcPr>
            <w:tcW w:type="dxa" w:w="2700"/>
            <w:shd w:fill="EAF5EE"/>
            <w:vAlign w:val="center"/>
          </w:tcPr>
          <w:p>
            <w:pPr>
              <w:spacing w:after="0" w:line="276" w:lineRule="auto"/>
            </w:pPr>
            <w:r/>
            <w:r>
              <w:rPr>
                <w:rFonts w:ascii="Century Gothic" w:hAnsi="Century Gothic"/>
                <w:b/>
                <w:i w:val="0"/>
                <w:color w:val="07513A"/>
                <w:sz w:val="17"/>
              </w:rPr>
              <w:t>Resposta objetiva</w:t>
            </w:r>
          </w:p>
        </w:tc>
        <w:tc>
          <w:tcPr>
            <w:tcW w:type="dxa" w:w="6660"/>
            <w:shd w:fill="FFF2CC"/>
            <w:vAlign w:val="center"/>
          </w:tcPr>
          <w:p>
            <w:pPr>
              <w:spacing w:after="0" w:line="276" w:lineRule="auto"/>
            </w:pPr>
            <w:r/>
            <w:r>
              <w:rPr>
                <w:rFonts w:ascii="Century Gothic" w:hAnsi="Century Gothic"/>
                <w:b w:val="0"/>
                <w:i w:val="0"/>
                <w:color w:val="202020"/>
                <w:sz w:val="17"/>
              </w:rPr>
              <w:t>Redigir em até 180 palavras, iniciando pelo resultado e pela base numérica.</w:t>
            </w:r>
          </w:p>
        </w:tc>
      </w:tr>
      <w:tr>
        <w:tc>
          <w:tcPr>
            <w:tcW w:type="dxa" w:w="2700"/>
            <w:shd w:fill="EAF5EE"/>
            <w:vAlign w:val="center"/>
          </w:tcPr>
          <w:p>
            <w:pPr>
              <w:spacing w:after="0" w:line="276" w:lineRule="auto"/>
            </w:pPr>
            <w:r/>
            <w:r>
              <w:rPr>
                <w:rFonts w:ascii="Century Gothic" w:hAnsi="Century Gothic"/>
                <w:b/>
                <w:i w:val="0"/>
                <w:color w:val="07513A"/>
                <w:sz w:val="17"/>
              </w:rPr>
              <w:t>Limitação/diligência</w:t>
            </w:r>
          </w:p>
        </w:tc>
        <w:tc>
          <w:tcPr>
            <w:tcW w:type="dxa" w:w="6660"/>
            <w:shd w:fill="FFF2CC"/>
            <w:vAlign w:val="center"/>
          </w:tcPr>
          <w:p>
            <w:pPr>
              <w:spacing w:after="0" w:line="276" w:lineRule="auto"/>
            </w:pPr>
            <w:r/>
            <w:r>
              <w:rPr>
                <w:rFonts w:ascii="Century Gothic" w:hAnsi="Century Gothic"/>
                <w:b w:val="0"/>
                <w:i w:val="0"/>
                <w:color w:val="202020"/>
                <w:sz w:val="17"/>
              </w:rPr>
              <w:t>Indicar exatamente o documento faltante e o efeito sobre a conclusão.</w:t>
            </w:r>
          </w:p>
        </w:tc>
      </w:tr>
      <w:tr>
        <w:tc>
          <w:tcPr>
            <w:tcW w:type="dxa" w:w="2700"/>
            <w:shd w:fill="EAF5EE"/>
            <w:vAlign w:val="center"/>
          </w:tcPr>
          <w:p>
            <w:pPr>
              <w:spacing w:after="0" w:line="276" w:lineRule="auto"/>
            </w:pPr>
            <w:r/>
            <w:r>
              <w:rPr>
                <w:rFonts w:ascii="Century Gothic" w:hAnsi="Century Gothic"/>
                <w:b/>
                <w:i w:val="0"/>
                <w:color w:val="07513A"/>
                <w:sz w:val="17"/>
              </w:rPr>
              <w:t>Revisão</w:t>
            </w:r>
          </w:p>
        </w:tc>
        <w:tc>
          <w:tcPr>
            <w:tcW w:type="dxa" w:w="6660"/>
            <w:shd w:fill="FFF2CC"/>
            <w:vAlign w:val="center"/>
          </w:tcPr>
          <w:p>
            <w:pPr>
              <w:spacing w:after="0" w:line="276" w:lineRule="auto"/>
            </w:pPr>
            <w:r/>
            <w:r>
              <w:rPr>
                <w:rFonts w:ascii="Century Gothic" w:hAnsi="Century Gothic"/>
                <w:b w:val="0"/>
                <w:i w:val="0"/>
                <w:color w:val="202020"/>
                <w:sz w:val="17"/>
              </w:rPr>
              <w:t>Revisor, data e decisão sobre o texto final.</w:t>
            </w:r>
          </w:p>
        </w:tc>
      </w:tr>
    </w:tbl>
    <w:p>
      <w:pPr>
        <w:pageBreakBefore/>
      </w:pPr>
    </w:p>
    <w:p>
      <w:pPr>
        <w:pStyle w:val="Heading1"/>
        <w:keepNext/>
      </w:pPr>
      <w:r>
        <w:rPr>
          <w:rFonts w:ascii="Century Gothic" w:hAnsi="Century Gothic"/>
          <w:b/>
          <w:i w:val="0"/>
          <w:color w:val="07513A"/>
          <w:sz w:val="30"/>
        </w:rPr>
        <w:t>Fontes normativas e controle de versão</w:t>
      </w:r>
    </w:p>
    <w:p>
      <w:pPr>
        <w:pStyle w:val="ListBullet"/>
        <w:spacing w:after="80" w:line="300" w:lineRule="auto"/>
      </w:pPr>
      <w:r>
        <w:rPr>
          <w:rFonts w:ascii="Century Gothic" w:hAnsi="Century Gothic"/>
          <w:b w:val="0"/>
          <w:i w:val="0"/>
          <w:color w:val="202020"/>
          <w:sz w:val="19"/>
        </w:rPr>
        <w:t>Nota Técnica Conjunta nº 01/2026 — MPBA, TCE-BA e TCM-BA.</w:t>
      </w:r>
    </w:p>
    <w:p>
      <w:pPr>
        <w:pStyle w:val="ListBullet"/>
        <w:spacing w:after="80" w:line="300" w:lineRule="auto"/>
      </w:pPr>
      <w:r>
        <w:rPr>
          <w:rFonts w:ascii="Century Gothic" w:hAnsi="Century Gothic"/>
          <w:b w:val="0"/>
          <w:i w:val="0"/>
          <w:color w:val="202020"/>
          <w:sz w:val="19"/>
        </w:rPr>
        <w:t>Lei nº 14.133/2021, especialmente arts. 23, 72, 74, II, e 94.</w:t>
      </w:r>
    </w:p>
    <w:p>
      <w:pPr>
        <w:pStyle w:val="ListBullet"/>
        <w:spacing w:after="80" w:line="300" w:lineRule="auto"/>
      </w:pPr>
      <w:r>
        <w:rPr>
          <w:rFonts w:ascii="Century Gothic" w:hAnsi="Century Gothic"/>
          <w:b w:val="0"/>
          <w:i w:val="0"/>
          <w:color w:val="202020"/>
          <w:sz w:val="19"/>
        </w:rPr>
        <w:t>Lei nº 4.320/1964; Lei Complementar nº 101/2000; MCASP e MDF vigentes no período.</w:t>
      </w:r>
    </w:p>
    <w:p>
      <w:pPr>
        <w:pStyle w:val="ListBullet"/>
        <w:spacing w:after="80" w:line="300" w:lineRule="auto"/>
      </w:pPr>
      <w:r>
        <w:rPr>
          <w:rFonts w:ascii="Century Gothic" w:hAnsi="Century Gothic"/>
          <w:b w:val="0"/>
          <w:i w:val="0"/>
          <w:color w:val="202020"/>
          <w:sz w:val="19"/>
        </w:rPr>
        <w:t>Portaria MOG nº 42/1999 e Portaria Interministerial STN/SOF nº 163/2001 atualizada.</w:t>
      </w:r>
    </w:p>
    <w:p>
      <w:pPr>
        <w:pStyle w:val="ListBullet"/>
        <w:spacing w:after="80" w:line="300" w:lineRule="auto"/>
      </w:pPr>
      <w:r>
        <w:rPr>
          <w:rFonts w:ascii="Century Gothic" w:hAnsi="Century Gothic"/>
          <w:b w:val="0"/>
          <w:i w:val="0"/>
          <w:color w:val="202020"/>
          <w:sz w:val="19"/>
        </w:rPr>
        <w:t>Portal da Transparência, PNCP, Painel de Transparência dos Festejos Juninos do MPBA, SIGA/e-TCM e SICONFI.</w:t>
      </w:r>
    </w:p>
    <w:p>
      <w:r>
        <w:rPr>
          <w:rFonts w:ascii="Century Gothic" w:hAnsi="Century Gothic"/>
          <w:b/>
          <w:i w:val="0"/>
          <w:color w:val="07513A"/>
          <w:sz w:val="19"/>
        </w:rPr>
        <w:t xml:space="preserve">Nota de controle: </w:t>
      </w:r>
      <w:r>
        <w:rPr>
          <w:rFonts w:ascii="Century Gothic" w:hAnsi="Century Gothic"/>
          <w:b w:val="0"/>
          <w:i w:val="0"/>
          <w:color w:val="202020"/>
          <w:sz w:val="19"/>
        </w:rPr>
        <w:t>confirmar a vigência e o inteiro teor das normas na data do fato analisado. Normas atuais não devem ser aplicadas retroativamente sem fundamento.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152" w:right="1440" w:bottom="1080" w:left="1440" w:header="504" w:footer="50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Century Gothic" w:hAnsi="Century Gothic"/>
        <w:b w:val="0"/>
        <w:i w:val="0"/>
        <w:color w:val="5F6B66"/>
        <w:sz w:val="16"/>
      </w:rPr>
      <w:t xml:space="preserve">ELOS · CEAT/MPBA  |  </w:t>
    </w:r>
    <w:r>
      <w:fldSimple w:instr="PAGE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  <w:tbl>
    <w:tblPr>
      <w:tblW w:type="dxa" w:w="9360"/>
      <w:jc w:val="center"/>
      <w:tblLayout w:type="fixed"/>
      <w:tblLook w:firstColumn="1" w:firstRow="1" w:lastColumn="0" w:lastRow="0" w:noHBand="0" w:noVBand="1" w:val="04A0"/>
      <w:tblInd w:w="120" w:type="dxa"/>
    </w:tblPr>
    <w:tblGrid>
      <w:gridCol w:w="6500"/>
      <w:gridCol w:w="2860"/>
    </w:tblGrid>
    <w:tr>
      <w:tc>
        <w:tcPr>
          <w:tcW w:type="dxa" w:w="6500"/>
          <w:tcMar>
            <w:top w:w="80" w:type="dxa"/>
            <w:bottom w:w="80" w:type="dxa"/>
            <w:start w:w="120" w:type="dxa"/>
            <w:end w:w="120" w:type="dxa"/>
          </w:tcMar>
          <w:vAlign w:val="center"/>
        </w:tcPr>
        <w:p>
          <w:pPr>
            <w:spacing w:after="0" w:line="276" w:lineRule="auto"/>
          </w:pPr>
          <w:r/>
          <w:r>
            <w:rPr>
              <w:rFonts w:ascii="Century Gothic" w:hAnsi="Century Gothic"/>
              <w:b/>
              <w:i w:val="0"/>
              <w:color w:val="07513A"/>
              <w:sz w:val="17"/>
            </w:rPr>
            <w:t>Módulo 3 · Roteiro de resposta aos quesitos</w:t>
          </w:r>
        </w:p>
      </w:tc>
      <w:tc>
        <w:tcPr>
          <w:tcW w:type="dxa" w:w="2860"/>
          <w:tcMar>
            <w:top w:w="80" w:type="dxa"/>
            <w:bottom w:w="80" w:type="dxa"/>
            <w:start w:w="120" w:type="dxa"/>
            <w:end w:w="120" w:type="dxa"/>
          </w:tcMar>
        </w:tcPr>
        <w:p>
          <w:pPr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731520" cy="426651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-elos-oficial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31520" cy="426651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</w:tr>
  </w:tbl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300" w:lineRule="auto"/>
    </w:pPr>
    <w:rPr>
      <w:rFonts w:ascii="Century Gothic" w:hAnsi="Century Gothic"/>
      <w:color w:val="202020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200"/>
      <w:outlineLvl w:val="0"/>
    </w:pPr>
    <w:rPr>
      <w:rFonts w:asciiTheme="majorHAnsi" w:eastAsiaTheme="majorEastAsia" w:hAnsiTheme="majorHAnsi" w:cstheme="majorBidi" w:ascii="Century Gothic" w:hAnsi="Century Gothic"/>
      <w:b/>
      <w:bCs/>
      <w:color w:val="07513A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40"/>
      <w:outlineLvl w:val="1"/>
    </w:pPr>
    <w:rPr>
      <w:rFonts w:asciiTheme="majorHAnsi" w:eastAsiaTheme="majorEastAsia" w:hAnsiTheme="majorHAnsi" w:cstheme="majorBidi" w:ascii="Century Gothic" w:hAnsi="Century Gothic"/>
      <w:b/>
      <w:bCs/>
      <w:color w:val="07513A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/>
      <w:outlineLvl w:val="2"/>
    </w:pPr>
    <w:rPr>
      <w:rFonts w:asciiTheme="majorHAnsi" w:eastAsiaTheme="majorEastAsia" w:hAnsiTheme="majorHAnsi" w:cstheme="majorBidi" w:ascii="Century Gothic" w:hAnsi="Century Gothic"/>
      <w:b/>
      <w:bCs/>
      <w:color w:val="07513A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Aspectos Contábeis — Festejos Juninos</dc:title>
  <dc:subject>Roteiro de resposta aos quesitos e papéis de trabalho</dc:subject>
  <dc:creator>Elos Consultoria e Treinamento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