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560" w:after="80"/>
      </w:pPr>
      <w:r>
        <w:rPr>
          <w:rFonts w:ascii="Century Gothic" w:hAnsi="Century Gothic"/>
          <w:b/>
          <w:i w:val="0"/>
          <w:color w:val="D8A928"/>
          <w:sz w:val="19"/>
        </w:rPr>
        <w:t>CEAT · MINISTÉRIO PÚBLICO DO ESTADO DA BAHIA</w:t>
      </w:r>
    </w:p>
    <w:p>
      <w:pPr>
        <w:spacing w:after="160"/>
      </w:pPr>
      <w:r>
        <w:rPr>
          <w:rFonts w:ascii="Century Gothic" w:hAnsi="Century Gothic"/>
          <w:b/>
          <w:i w:val="0"/>
          <w:color w:val="07513A"/>
          <w:sz w:val="48"/>
        </w:rPr>
        <w:t>Destinação e Rastreamento de Recursos do FUNDEB</w:t>
      </w:r>
    </w:p>
    <w:p>
      <w:pPr>
        <w:spacing w:after="360"/>
      </w:pPr>
      <w:r>
        <w:rPr>
          <w:rFonts w:ascii="Century Gothic" w:hAnsi="Century Gothic"/>
          <w:b w:val="0"/>
          <w:i w:val="0"/>
          <w:color w:val="5F6B66"/>
          <w:sz w:val="26"/>
        </w:rPr>
        <w:t>Roteiro técnico, papéis de trabalho e modelo de resposta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shd w:fill="07513A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FFFFFF"/>
                <w:sz w:val="17"/>
              </w:rPr>
              <w:t>Módulo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Módulo 4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Carga horária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8 horas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Ementa ajustada</w:t>
            </w:r>
          </w:p>
        </w:tc>
        <w:tc>
          <w:tcPr>
            <w:tcW w:type="dxa" w:w="6660"/>
            <w:shd w:fill="F4F7F5"/>
            <w:vAlign w:val="center"/>
          </w:tcPr>
          <w:p>
            <w:r>
              <w:t>Lei nº 14.113/2020; normas do TCM-BA; Portaria STN nº 710/2021; MCASP/MDF; Portal de Transferências, e-TCM, SIOPE e MSC; receitas, deduções, despesas e rastreamento.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Método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Critério → evidência → teste → cálculo → limitação → resposta → revisão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Uso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Material editável. Toda conclusão exige validação do contador do CEAT e revisão humana.</w:t>
            </w:r>
          </w:p>
        </w:tc>
      </w:tr>
    </w:tbl>
    <w:p>
      <w:pPr>
        <w:pStyle w:val="Heading1"/>
        <w:keepNext/>
      </w:pPr>
      <w:r>
        <w:rPr>
          <w:rFonts w:ascii="Century Gothic" w:hAnsi="Century Gothic"/>
          <w:b/>
          <w:i w:val="0"/>
          <w:color w:val="07513A"/>
          <w:sz w:val="30"/>
        </w:rPr>
        <w:t>Como usar</w:t>
      </w:r>
    </w:p>
    <w:p>
      <w:pPr>
        <w:pStyle w:val="ListBullet"/>
        <w:spacing w:after="80" w:line="300" w:lineRule="auto"/>
      </w:pPr>
      <w:r>
        <w:rPr>
          <w:rFonts w:ascii="Century Gothic" w:hAnsi="Century Gothic"/>
          <w:b w:val="0"/>
          <w:i w:val="0"/>
          <w:color w:val="202020"/>
          <w:sz w:val="19"/>
        </w:rPr>
        <w:t>Comece pela planilha do módulo e complete o inventário documental.</w:t>
      </w:r>
    </w:p>
    <w:p>
      <w:pPr>
        <w:pStyle w:val="ListBullet"/>
        <w:spacing w:after="80" w:line="300" w:lineRule="auto"/>
      </w:pPr>
      <w:r>
        <w:rPr>
          <w:rFonts w:ascii="Century Gothic" w:hAnsi="Century Gothic"/>
          <w:b w:val="0"/>
          <w:i w:val="0"/>
          <w:color w:val="202020"/>
          <w:sz w:val="19"/>
        </w:rPr>
        <w:t>Execute a aba de suporte indicada na matriz de quesitos e preserve as fórmulas.</w:t>
      </w:r>
    </w:p>
    <w:p>
      <w:pPr>
        <w:pStyle w:val="ListBullet"/>
        <w:spacing w:after="80" w:line="300" w:lineRule="auto"/>
      </w:pPr>
      <w:r>
        <w:rPr>
          <w:rFonts w:ascii="Century Gothic" w:hAnsi="Century Gothic"/>
          <w:b w:val="0"/>
          <w:i w:val="0"/>
          <w:color w:val="202020"/>
          <w:sz w:val="19"/>
        </w:rPr>
        <w:t>Transfira para este roteiro apenas resultados sustentados por documento localizado.</w:t>
      </w:r>
    </w:p>
    <w:p>
      <w:pPr>
        <w:pStyle w:val="ListBullet"/>
        <w:spacing w:after="80" w:line="300" w:lineRule="auto"/>
      </w:pPr>
      <w:r>
        <w:rPr>
          <w:rFonts w:ascii="Century Gothic" w:hAnsi="Century Gothic"/>
          <w:b w:val="0"/>
          <w:i w:val="0"/>
          <w:color w:val="202020"/>
          <w:sz w:val="19"/>
        </w:rPr>
        <w:t>Diferencie fato comprovado, indício, limitação e diligência; não complete lacunas com suposições.</w:t>
      </w:r>
    </w:p>
    <w:p>
      <w:pPr>
        <w:pStyle w:val="ListBullet"/>
        <w:spacing w:after="80" w:line="300" w:lineRule="auto"/>
      </w:pPr>
      <w:r>
        <w:rPr>
          <w:rFonts w:ascii="Century Gothic" w:hAnsi="Century Gothic"/>
          <w:b w:val="0"/>
          <w:i w:val="0"/>
          <w:color w:val="202020"/>
          <w:sz w:val="19"/>
        </w:rPr>
        <w:t>Submeta a minuta à revisão técnica e, quando cabível, ao contraditório.</w:t>
      </w:r>
    </w:p>
    <w:p>
      <w:pPr>
        <w:pStyle w:val="Heading1"/>
        <w:keepNext/>
      </w:pPr>
      <w:r>
        <w:rPr>
          <w:rFonts w:ascii="Century Gothic" w:hAnsi="Century Gothic"/>
          <w:b/>
          <w:i w:val="0"/>
          <w:color w:val="07513A"/>
          <w:sz w:val="30"/>
        </w:rPr>
        <w:t>Estrutura padrão da resposta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1. Resposta direta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Sim, não, parcialmente ou inconclusivo — seguida do resultado numérico principal.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2. Fundamentação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Critério aplicado, procedimento executado e evidências-chave.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3. Memória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Fórmula, base, período, unidade e reconciliação.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4. Limitações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Dados ausentes, inconsistentes ou fora dos autos e efeito sobre a conclusão.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5. Diligências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Documentos exatos a solicitar e teste que serão capazes de concluir.</w:t>
            </w:r>
          </w:p>
        </w:tc>
      </w:tr>
    </w:tbl>
    <w:p>
      <w:pPr>
        <w:pStyle w:val="Heading1"/>
        <w:pageBreakBefore/>
      </w:pPr>
      <w:r>
        <w:t>Bloco obrigatório V2 — receitas e despesas</w:t>
      </w:r>
    </w:p>
    <w:p>
      <w:pPr/>
      <w:r>
        <w:t>Antes das respostas individuais, documente a conciliação multissistema. Se as fontes não representarem a mesma camada da receita ou o mesmo estágio da despesa, registre a incompatibilidade e não calcule diferença conclusiva.</w:t>
      </w:r>
    </w:p>
    <w:p>
      <w:pPr>
        <w:pStyle w:val="Heading2"/>
      </w:pPr>
      <w:r>
        <w:t>Quadro de receitas</w:t>
      </w:r>
    </w:p>
    <w:p>
      <w:pPr>
        <w:pStyle w:val="ListBullet"/>
      </w:pPr>
      <w:r>
        <w:t>Informe ente, exercício, competência, tipo do recurso, camada, natureza, fonte/CO original, Portal de Transferências, e-TCM, SIOPE, MSC, diferença, tolerância, evidência e explicação.</w:t>
      </w:r>
    </w:p>
    <w:p>
      <w:pPr>
        <w:pStyle w:val="ListBullet"/>
      </w:pPr>
      <w:r>
        <w:t>Segregue transferência bruta, dedução para formação do FUNDEB, transferência líquida, crédito do FUNDEB, precatório e rendimento. Não liquide diferenças entre camadas distintas.</w:t>
      </w:r>
    </w:p>
    <w:p>
      <w:pPr>
        <w:pStyle w:val="ListBullet"/>
      </w:pPr>
      <w:r>
        <w:t>Use 1.7.1.9.56.0.0 para o crédito judicial relativo ao FUNDEF e 1.7.5.1.50.0.0 para o crédito recebido do FUNDEB, quando compatíveis com o exercício e o ementário. Trate 9.1.7.1.50.0.0 como código redutor apenas se o leiaute do arquivo assim o definir.</w:t>
      </w:r>
    </w:p>
    <w:p>
      <w:pPr>
        <w:pStyle w:val="Heading2"/>
      </w:pPr>
      <w:r>
        <w:t>Quadro da dedução</w:t>
      </w:r>
    </w:p>
    <w:p>
      <w:pPr>
        <w:pStyle w:val="ListBullet"/>
      </w:pPr>
      <w:r>
        <w:t>Reconstrua por transferência-base: valor sujeito ao Fundo × alíquota legal = dedução esperada. Confronte a dedução com Portal, e-TCM e MSC e descreva estornos, ajustes de competência e diferenças de leiaute.</w:t>
      </w:r>
    </w:p>
    <w:p>
      <w:pPr>
        <w:pStyle w:val="ListBullet"/>
      </w:pPr>
      <w:r>
        <w:t>Apresente o resultado redistributivo (crédito recebido − dedução) apenas como informação. Uma diferença positiva ou negativa não é, por si só, impropriedade.</w:t>
      </w:r>
    </w:p>
    <w:p>
      <w:pPr>
        <w:pStyle w:val="Heading2"/>
      </w:pPr>
      <w:r>
        <w:t>Quadro de despesas</w:t>
      </w:r>
    </w:p>
    <w:p>
      <w:pPr>
        <w:pStyle w:val="ListBullet"/>
      </w:pPr>
      <w:r>
        <w:t>Compare e-TCM, MSC e SIOPE por exercício, competência, fonte/CO, função/subfunção, natureza e estágio. Registre separadamente empenhado, liquidado e pago.</w:t>
      </w:r>
    </w:p>
    <w:p>
      <w:pPr>
        <w:pStyle w:val="ListBullet"/>
      </w:pPr>
      <w:r>
        <w:t>Para a amostra, documente critério de seleção, cobertura, dotação, empenho, liquidação, atesto, pagamento, conta bancária e evidência da finalidade. Classifique pelo objeto real, não somente pela rubrica.</w:t>
      </w:r>
    </w:p>
    <w:p>
      <w:pPr>
        <w:pStyle w:val="Heading2"/>
      </w:pPr>
      <w:r>
        <w:t>Texto-padrão da conclusão</w:t>
      </w:r>
    </w:p>
    <w:p>
      <w:pPr/>
      <w:r>
        <w:t>Com base nos arquivos [identificar] extraídos em [data], conciliados pela chave [informar], foram comparados valores equivalentes da camada/estágio [informar]. A diferença apurada foi de R$ [valor], ante tolerância de R$ [valor]. A causa [foi comprovada/não foi comprovada] por [evidência]. Conclui-se [resultado], ressalvadas [limitações] e recomenda-se [diligência].</w:t>
      </w:r>
    </w:p>
    <w:p>
      <w:pPr>
        <w:pStyle w:val="Heading2"/>
      </w:pPr>
      <w:r>
        <w:t>Salvaguardas de redação</w:t>
      </w:r>
    </w:p>
    <w:p>
      <w:pPr>
        <w:pStyle w:val="ListBullet"/>
      </w:pPr>
      <w:r>
        <w:t>Não concluir pela regularidade quando faltar uma das fontes obrigatórias ou a chave de equivalência.</w:t>
      </w:r>
    </w:p>
    <w:p>
      <w:pPr>
        <w:pStyle w:val="ListBullet"/>
      </w:pPr>
      <w:r>
        <w:t>Distinguir fato comprovado, cálculo reproduzido, hipótese explicativa e matéria jurídica controvertida.</w:t>
      </w:r>
    </w:p>
    <w:p>
      <w:pPr>
        <w:pStyle w:val="ListBullet"/>
      </w:pPr>
      <w:r>
        <w:t>Não imputar dolo, culpa ou responsabilidade pessoal sem elementos próprios e validação jurídica.</w:t>
      </w:r>
    </w:p>
    <w:p>
      <w:pPr>
        <w:pageBreakBefore/>
        <w:spacing w:after="100"/>
      </w:pPr>
      <w:r>
        <w:rPr>
          <w:rFonts w:ascii="Century Gothic" w:hAnsi="Century Gothic"/>
          <w:b/>
          <w:i w:val="0"/>
          <w:color w:val="D8A928"/>
          <w:sz w:val="19"/>
        </w:rPr>
        <w:t>QE-01 · QUESITO 1</w:t>
      </w:r>
    </w:p>
    <w:p>
      <w:pPr>
        <w:keepNext/>
        <w:spacing w:after="200"/>
      </w:pPr>
      <w:r>
        <w:rPr>
          <w:rFonts w:ascii="Century Gothic" w:hAnsi="Century Gothic"/>
          <w:b/>
          <w:i w:val="0"/>
          <w:color w:val="07513A"/>
          <w:sz w:val="29"/>
        </w:rPr>
        <w:t>Os pagamentos discriminados na relação apresentada pelo Município estão de acordo com a destinação prevista na legislação?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shd w:fill="07513A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FFFFFF"/>
                <w:sz w:val="17"/>
              </w:rPr>
              <w:t>Objetivo do teste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Classificar cada pagamento dos precatórios e validar beneficiário, período e finalidade.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Critério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Lei nº 14.113/2020, art. 47-A; Lei nº 14.325/2022; TCM-BA Resolução nº 1.346/2016; lei local.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Evidências mínimas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Relação de pagamentos, lei local, folha, vínculos, período de efetivo exercício, processos e extratos.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Memória de cálculo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Total por categoria e percentual sobre o valor disponível, separando principal e rendimentos.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Produto da resposta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Quadro por pagamento e conclusão sobre destinação, beneficiário e suporte.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Cautela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Não aplicar automaticamente a regra geral de 70% do Fundeb permanente aos precatórios do FUNDEF; usar o regime específico e a lei local.</w:t>
            </w:r>
          </w:p>
        </w:tc>
      </w:tr>
    </w:tbl>
    <w:p>
      <w:pPr>
        <w:pStyle w:val="Heading2"/>
        <w:keepNext/>
      </w:pPr>
      <w:r>
        <w:rPr>
          <w:rFonts w:ascii="Century Gothic" w:hAnsi="Century Gothic"/>
          <w:b/>
          <w:i w:val="0"/>
          <w:color w:val="07513A"/>
          <w:sz w:val="25"/>
        </w:rPr>
        <w:t>Procedimentos</w:t>
      </w:r>
    </w:p>
    <w:p>
      <w:pPr>
        <w:pStyle w:val="ListBullet"/>
        <w:spacing w:after="80" w:line="300" w:lineRule="auto"/>
      </w:pPr>
      <w:r>
        <w:rPr>
          <w:rFonts w:ascii="Century Gothic" w:hAnsi="Century Gothic"/>
          <w:b w:val="0"/>
          <w:i w:val="0"/>
          <w:color w:val="202020"/>
          <w:sz w:val="19"/>
        </w:rPr>
        <w:t>Identificar a origem judicial e o período a que se refere o crédito.</w:t>
      </w:r>
    </w:p>
    <w:p>
      <w:pPr>
        <w:pStyle w:val="ListBullet"/>
        <w:spacing w:after="80" w:line="300" w:lineRule="auto"/>
      </w:pPr>
      <w:r>
        <w:rPr>
          <w:rFonts w:ascii="Century Gothic" w:hAnsi="Century Gothic"/>
          <w:b w:val="0"/>
          <w:i w:val="0"/>
          <w:color w:val="202020"/>
          <w:sz w:val="19"/>
        </w:rPr>
        <w:t>Validar beneficiários, vínculo, efetivo exercício e critério proporcional do rateio.</w:t>
      </w:r>
    </w:p>
    <w:p>
      <w:pPr>
        <w:pStyle w:val="ListBullet"/>
        <w:spacing w:after="80" w:line="300" w:lineRule="auto"/>
      </w:pPr>
      <w:r>
        <w:rPr>
          <w:rFonts w:ascii="Century Gothic" w:hAnsi="Century Gothic"/>
          <w:b w:val="0"/>
          <w:i w:val="0"/>
          <w:color w:val="202020"/>
          <w:sz w:val="19"/>
        </w:rPr>
        <w:t>Classificar parcela de profissionais, outras MDE e despesa não enquadrada.</w:t>
      </w:r>
    </w:p>
    <w:p>
      <w:pPr>
        <w:pStyle w:val="Heading2"/>
        <w:keepNext/>
      </w:pPr>
      <w:r>
        <w:rPr>
          <w:rFonts w:ascii="Century Gothic" w:hAnsi="Century Gothic"/>
          <w:b/>
          <w:i w:val="0"/>
          <w:color w:val="07513A"/>
          <w:sz w:val="25"/>
        </w:rPr>
        <w:t>Registro da conclusão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Resultado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Selecionar: comprovado · não comprovado · indício · inconclusivo · não aplicável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Evidência-chave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Indicar documento, página/linha, competência e data da coleta.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Resposta objetiva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Redigir em até 180 palavras, iniciando pelo resultado e pela base numérica.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Limitação/diligência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Indicar exatamente o documento faltante e o efeito sobre a conclusão.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Revisão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Revisor, data e decisão sobre o texto final.</w:t>
            </w:r>
          </w:p>
        </w:tc>
      </w:tr>
    </w:tbl>
    <w:p>
      <w:pPr>
        <w:pageBreakBefore/>
        <w:spacing w:after="100"/>
      </w:pPr>
      <w:r>
        <w:rPr>
          <w:rFonts w:ascii="Century Gothic" w:hAnsi="Century Gothic"/>
          <w:b/>
          <w:i w:val="0"/>
          <w:color w:val="D8A928"/>
          <w:sz w:val="19"/>
        </w:rPr>
        <w:t>QE-02 · QUESITO 2</w:t>
      </w:r>
    </w:p>
    <w:p>
      <w:pPr>
        <w:keepNext/>
        <w:spacing w:after="200"/>
      </w:pPr>
      <w:r>
        <w:rPr>
          <w:rFonts w:ascii="Century Gothic" w:hAnsi="Century Gothic"/>
          <w:b/>
          <w:i w:val="0"/>
          <w:color w:val="07513A"/>
          <w:sz w:val="29"/>
        </w:rPr>
        <w:t>Houve correta aplicação dos percentuais obrigatórios, respeitando o mínimo de 60% para valorização dos profissionais e até 40% para MDE?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shd w:fill="07513A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FFFFFF"/>
                <w:sz w:val="17"/>
              </w:rPr>
              <w:t>Objetivo do teste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Recalcular a destinação do montante extraordinário.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Critério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Lei nº 14.113/2020, art. 47-A; Lei nº 14.325/2022; legislação local específica.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Evidências mínimas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Créditos, rendimentos, rateios, folhas, demais despesas MDE e saldos.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Memória de cálculo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Mínimo profissionais = base aplicável × 60%; diferença = pago a profissionais − mínimo; demais MDE = total − rateio − saldo.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Produto da resposta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Percentuais recalculados, diferenças e itens sem comprovação.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Cautela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Registrar expressamente a base usada; percentuais corretos sobre base errada não respondem ao quesito.</w:t>
            </w:r>
          </w:p>
        </w:tc>
      </w:tr>
    </w:tbl>
    <w:p>
      <w:pPr>
        <w:pStyle w:val="Heading2"/>
        <w:keepNext/>
      </w:pPr>
      <w:r>
        <w:rPr>
          <w:rFonts w:ascii="Century Gothic" w:hAnsi="Century Gothic"/>
          <w:b/>
          <w:i w:val="0"/>
          <w:color w:val="07513A"/>
          <w:sz w:val="25"/>
        </w:rPr>
        <w:t>Procedimentos</w:t>
      </w:r>
    </w:p>
    <w:p>
      <w:pPr>
        <w:pStyle w:val="ListBullet"/>
        <w:spacing w:after="80" w:line="300" w:lineRule="auto"/>
      </w:pPr>
      <w:r>
        <w:rPr>
          <w:rFonts w:ascii="Century Gothic" w:hAnsi="Century Gothic"/>
          <w:b w:val="0"/>
          <w:i w:val="0"/>
          <w:color w:val="202020"/>
          <w:sz w:val="19"/>
        </w:rPr>
        <w:t>Definir a base conforme decisão judicial e legislação aplicável.</w:t>
      </w:r>
    </w:p>
    <w:p>
      <w:pPr>
        <w:pStyle w:val="ListBullet"/>
        <w:spacing w:after="80" w:line="300" w:lineRule="auto"/>
      </w:pPr>
      <w:r>
        <w:rPr>
          <w:rFonts w:ascii="Century Gothic" w:hAnsi="Century Gothic"/>
          <w:b w:val="0"/>
          <w:i w:val="0"/>
          <w:color w:val="202020"/>
          <w:sz w:val="19"/>
        </w:rPr>
        <w:t>Separar principal, rendimentos e parcelas do precatório.</w:t>
      </w:r>
    </w:p>
    <w:p>
      <w:pPr>
        <w:pStyle w:val="ListBullet"/>
        <w:spacing w:after="80" w:line="300" w:lineRule="auto"/>
      </w:pPr>
      <w:r>
        <w:rPr>
          <w:rFonts w:ascii="Century Gothic" w:hAnsi="Century Gothic"/>
          <w:b w:val="0"/>
          <w:i w:val="0"/>
          <w:color w:val="202020"/>
          <w:sz w:val="19"/>
        </w:rPr>
        <w:t>Recalcular mínimo destinado aos profissionais e saldo para MDE.</w:t>
      </w:r>
    </w:p>
    <w:p>
      <w:pPr>
        <w:pStyle w:val="Heading2"/>
        <w:keepNext/>
      </w:pPr>
      <w:r>
        <w:rPr>
          <w:rFonts w:ascii="Century Gothic" w:hAnsi="Century Gothic"/>
          <w:b/>
          <w:i w:val="0"/>
          <w:color w:val="07513A"/>
          <w:sz w:val="25"/>
        </w:rPr>
        <w:t>Registro da conclusão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Resultado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Selecionar: comprovado · não comprovado · indício · inconclusivo · não aplicável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Evidência-chave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Indicar documento, página/linha, competência e data da coleta.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Resposta objetiva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Redigir em até 180 palavras, iniciando pelo resultado e pela base numérica.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Limitação/diligência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Indicar exatamente o documento faltante e o efeito sobre a conclusão.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Revisão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Revisor, data e decisão sobre o texto final.</w:t>
            </w:r>
          </w:p>
        </w:tc>
      </w:tr>
    </w:tbl>
    <w:p>
      <w:pPr>
        <w:pageBreakBefore/>
        <w:spacing w:after="100"/>
      </w:pPr>
      <w:r>
        <w:rPr>
          <w:rFonts w:ascii="Century Gothic" w:hAnsi="Century Gothic"/>
          <w:b/>
          <w:i w:val="0"/>
          <w:color w:val="D8A928"/>
          <w:sz w:val="19"/>
        </w:rPr>
        <w:t>QE-03 · QUESITO 3</w:t>
      </w:r>
    </w:p>
    <w:p>
      <w:pPr>
        <w:keepNext/>
        <w:spacing w:after="200"/>
      </w:pPr>
      <w:r>
        <w:rPr>
          <w:rFonts w:ascii="Century Gothic" w:hAnsi="Century Gothic"/>
          <w:b/>
          <w:i w:val="0"/>
          <w:color w:val="07513A"/>
          <w:sz w:val="29"/>
        </w:rPr>
        <w:t>Existe despesa que não se enquadra na finalidade dos recursos do FUNDEF, inclusive pagamentos indevidos ou incompatíveis com a área educacional?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shd w:fill="07513A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FFFFFF"/>
                <w:sz w:val="17"/>
              </w:rPr>
              <w:t>Objetivo do teste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Aplicar a matriz de MDE por transação.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Critério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LDB, arts. 70 e 71; Lei nº 14.113/2020; legislação histórica do Fundo.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Evidências mínimas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Objeto, nota, contrato, beneficiário, unidade, classificação, processo e pagamento.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Memória de cálculo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Somatório por categoria e percentual sobre o total aplicado.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Produto da resposta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Lista de despesas incompatíveis, justificativas, valores e limitações.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Cautela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Classificação contábil ou fornecedor educacional, isoladamente, não comprova a finalidade.</w:t>
            </w:r>
          </w:p>
        </w:tc>
      </w:tr>
    </w:tbl>
    <w:p>
      <w:pPr>
        <w:pStyle w:val="Heading2"/>
        <w:keepNext/>
      </w:pPr>
      <w:r>
        <w:rPr>
          <w:rFonts w:ascii="Century Gothic" w:hAnsi="Century Gothic"/>
          <w:b/>
          <w:i w:val="0"/>
          <w:color w:val="07513A"/>
          <w:sz w:val="25"/>
        </w:rPr>
        <w:t>Procedimentos</w:t>
      </w:r>
    </w:p>
    <w:p>
      <w:pPr>
        <w:pStyle w:val="ListBullet"/>
        <w:spacing w:after="80" w:line="300" w:lineRule="auto"/>
      </w:pPr>
      <w:r>
        <w:rPr>
          <w:rFonts w:ascii="Century Gothic" w:hAnsi="Century Gothic"/>
          <w:b w:val="0"/>
          <w:i w:val="0"/>
          <w:color w:val="202020"/>
          <w:sz w:val="19"/>
        </w:rPr>
        <w:t>Descrever o objeto real, não apenas o título da despesa.</w:t>
      </w:r>
    </w:p>
    <w:p>
      <w:pPr>
        <w:pStyle w:val="ListBullet"/>
        <w:spacing w:after="80" w:line="300" w:lineRule="auto"/>
      </w:pPr>
      <w:r>
        <w:rPr>
          <w:rFonts w:ascii="Century Gothic" w:hAnsi="Century Gothic"/>
          <w:b w:val="0"/>
          <w:i w:val="0"/>
          <w:color w:val="202020"/>
          <w:sz w:val="19"/>
        </w:rPr>
        <w:t>Confrontar com art. 70 e vedações do art. 71 da LDB.</w:t>
      </w:r>
    </w:p>
    <w:p>
      <w:pPr>
        <w:pStyle w:val="ListBullet"/>
        <w:spacing w:after="80" w:line="300" w:lineRule="auto"/>
      </w:pPr>
      <w:r>
        <w:rPr>
          <w:rFonts w:ascii="Century Gothic" w:hAnsi="Century Gothic"/>
          <w:b w:val="0"/>
          <w:i w:val="0"/>
          <w:color w:val="202020"/>
          <w:sz w:val="19"/>
        </w:rPr>
        <w:t>Classificar como MDE, rateio, não MDE ou inconclusivo.</w:t>
      </w:r>
    </w:p>
    <w:p>
      <w:pPr>
        <w:pStyle w:val="Heading2"/>
        <w:keepNext/>
      </w:pPr>
      <w:r>
        <w:rPr>
          <w:rFonts w:ascii="Century Gothic" w:hAnsi="Century Gothic"/>
          <w:b/>
          <w:i w:val="0"/>
          <w:color w:val="07513A"/>
          <w:sz w:val="25"/>
        </w:rPr>
        <w:t>Registro da conclusão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Resultado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Selecionar: comprovado · não comprovado · indício · inconclusivo · não aplicável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Evidência-chave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Indicar documento, página/linha, competência e data da coleta.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Resposta objetiva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Redigir em até 180 palavras, iniciando pelo resultado e pela base numérica.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Limitação/diligência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Indicar exatamente o documento faltante e o efeito sobre a conclusão.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Revisão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Revisor, data e decisão sobre o texto final.</w:t>
            </w:r>
          </w:p>
        </w:tc>
      </w:tr>
    </w:tbl>
    <w:p>
      <w:pPr>
        <w:pageBreakBefore/>
        <w:spacing w:after="100"/>
      </w:pPr>
      <w:r>
        <w:rPr>
          <w:rFonts w:ascii="Century Gothic" w:hAnsi="Century Gothic"/>
          <w:b/>
          <w:i w:val="0"/>
          <w:color w:val="D8A928"/>
          <w:sz w:val="19"/>
        </w:rPr>
        <w:t>QV-01 · QUESITO 4</w:t>
      </w:r>
    </w:p>
    <w:p>
      <w:pPr>
        <w:keepNext/>
        <w:spacing w:after="200"/>
      </w:pPr>
      <w:r>
        <w:rPr>
          <w:rFonts w:ascii="Century Gothic" w:hAnsi="Century Gothic"/>
          <w:b/>
          <w:i w:val="0"/>
          <w:color w:val="07513A"/>
          <w:sz w:val="29"/>
        </w:rPr>
        <w:t>A metodologia de Vitória da Conquista para os percentuais de 60% e 70% está conforme o MDF vigente em cada exercício e as orientações da STN?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shd w:fill="07513A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FFFFFF"/>
                <w:sz w:val="17"/>
              </w:rPr>
              <w:t>Objetivo do teste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Reconstruir numerador, denominador, percentual e regra anual de 2019 a 2023.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Critério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Lei nº 11.494/2007, art. 22, para 2019–2020; Lei nº 14.113/2020, art. 26, para 2021–2023; MDF de cada exercício.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Evidências mínimas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RREO Anexo 8, memórias SEFIN/STPC, razão, SIOPE e versões anuais do MDF.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Memória de cálculo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Base legal = receitas anuais do Fundo + complementações/ajustes incluíveis − exclusões previstas; percentual = remuneração elegível ÷ base legal.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Produto da resposta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Tabela anual, aderência por componente e conclusão metodológica.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Cautela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Os 5%/25% de impostos fora do Fundo integram o teste de MDE 25%, mas não devem ser incluídos na base do percentual do Fundo sem fundamento expresso no critério anual.</w:t>
            </w:r>
          </w:p>
        </w:tc>
      </w:tr>
    </w:tbl>
    <w:p>
      <w:pPr>
        <w:pStyle w:val="Heading2"/>
        <w:keepNext/>
      </w:pPr>
      <w:r>
        <w:rPr>
          <w:rFonts w:ascii="Century Gothic" w:hAnsi="Century Gothic"/>
          <w:b/>
          <w:i w:val="0"/>
          <w:color w:val="07513A"/>
          <w:sz w:val="25"/>
        </w:rPr>
        <w:t>Procedimentos</w:t>
      </w:r>
    </w:p>
    <w:p>
      <w:pPr>
        <w:pStyle w:val="ListBullet"/>
        <w:spacing w:after="80" w:line="300" w:lineRule="auto"/>
      </w:pPr>
      <w:r>
        <w:rPr>
          <w:rFonts w:ascii="Century Gothic" w:hAnsi="Century Gothic"/>
          <w:b w:val="0"/>
          <w:i w:val="0"/>
          <w:color w:val="202020"/>
          <w:sz w:val="19"/>
        </w:rPr>
        <w:t>Aplicar 60% em 2019–2020 e 70% em 2021–2023.</w:t>
      </w:r>
    </w:p>
    <w:p>
      <w:pPr>
        <w:pStyle w:val="ListBullet"/>
        <w:spacing w:after="80" w:line="300" w:lineRule="auto"/>
      </w:pPr>
      <w:r>
        <w:rPr>
          <w:rFonts w:ascii="Century Gothic" w:hAnsi="Century Gothic"/>
          <w:b w:val="0"/>
          <w:i w:val="0"/>
          <w:color w:val="202020"/>
          <w:sz w:val="19"/>
        </w:rPr>
        <w:t>Transcrever entradas, exclusões e remuneração elegível de cada metodologia.</w:t>
      </w:r>
    </w:p>
    <w:p>
      <w:pPr>
        <w:pStyle w:val="ListBullet"/>
        <w:spacing w:after="80" w:line="300" w:lineRule="auto"/>
      </w:pPr>
      <w:r>
        <w:rPr>
          <w:rFonts w:ascii="Century Gothic" w:hAnsi="Century Gothic"/>
          <w:b w:val="0"/>
          <w:i w:val="0"/>
          <w:color w:val="202020"/>
          <w:sz w:val="19"/>
        </w:rPr>
        <w:t>Comparar linha a linha com o MDF vigente no ano.</w:t>
      </w:r>
    </w:p>
    <w:p>
      <w:pPr>
        <w:pStyle w:val="Heading2"/>
        <w:keepNext/>
      </w:pPr>
      <w:r>
        <w:rPr>
          <w:rFonts w:ascii="Century Gothic" w:hAnsi="Century Gothic"/>
          <w:b/>
          <w:i w:val="0"/>
          <w:color w:val="07513A"/>
          <w:sz w:val="25"/>
        </w:rPr>
        <w:t>Registro da conclusão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Resultado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Selecionar: comprovado · não comprovado · indício · inconclusivo · não aplicável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Evidência-chave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Indicar documento, página/linha, competência e data da coleta.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Resposta objetiva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Redigir em até 180 palavras, iniciando pelo resultado e pela base numérica.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Limitação/diligência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Indicar exatamente o documento faltante e o efeito sobre a conclusão.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Revisão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Revisor, data e decisão sobre o texto final.</w:t>
            </w:r>
          </w:p>
        </w:tc>
      </w:tr>
    </w:tbl>
    <w:p>
      <w:pPr>
        <w:pageBreakBefore/>
        <w:spacing w:after="100"/>
      </w:pPr>
      <w:r>
        <w:rPr>
          <w:rFonts w:ascii="Century Gothic" w:hAnsi="Century Gothic"/>
          <w:b/>
          <w:i w:val="0"/>
          <w:color w:val="D8A928"/>
          <w:sz w:val="19"/>
        </w:rPr>
        <w:t>QV-02 · QUESITO 5</w:t>
      </w:r>
    </w:p>
    <w:p>
      <w:pPr>
        <w:keepNext/>
        <w:spacing w:after="200"/>
      </w:pPr>
      <w:r>
        <w:rPr>
          <w:rFonts w:ascii="Century Gothic" w:hAnsi="Century Gothic"/>
          <w:b/>
          <w:i w:val="0"/>
          <w:color w:val="07513A"/>
          <w:sz w:val="29"/>
        </w:rPr>
        <w:t>Os RREOs de 2019 a 2023 são consistentes com o sistema financeiro municipal, SIOPE e TCM-BA?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shd w:fill="07513A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FFFFFF"/>
                <w:sz w:val="17"/>
              </w:rPr>
              <w:t>Objetivo do teste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Reconciliar as quatro fontes oficiais.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Critério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LRF; MDF; normas de remessa e prestação de contas.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Evidências mínimas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RREO, razão, balancetes, SIOPE, SIGA/e-TCM e retificações.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Memória de cálculo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Diferença = maior valor − menor valor; reconciliar por receita, remuneração e demais aplicações.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Produto da resposta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Matriz anual de consistência, explicações e itens não conciliados.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Cautela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Divergência entre sistemas é achado preliminar até a identificação da origem e da versão vigente.</w:t>
            </w:r>
          </w:p>
        </w:tc>
      </w:tr>
    </w:tbl>
    <w:p>
      <w:pPr>
        <w:pStyle w:val="Heading2"/>
        <w:keepNext/>
      </w:pPr>
      <w:r>
        <w:rPr>
          <w:rFonts w:ascii="Century Gothic" w:hAnsi="Century Gothic"/>
          <w:b/>
          <w:i w:val="0"/>
          <w:color w:val="07513A"/>
          <w:sz w:val="25"/>
        </w:rPr>
        <w:t>Procedimentos</w:t>
      </w:r>
    </w:p>
    <w:p>
      <w:pPr>
        <w:pStyle w:val="ListBullet"/>
        <w:spacing w:after="80" w:line="300" w:lineRule="auto"/>
      </w:pPr>
      <w:r>
        <w:rPr>
          <w:rFonts w:ascii="Century Gothic" w:hAnsi="Century Gothic"/>
          <w:b w:val="0"/>
          <w:i w:val="0"/>
          <w:color w:val="202020"/>
          <w:sz w:val="19"/>
        </w:rPr>
        <w:t>Mapear a mesma rubrica e competência em cada sistema.</w:t>
      </w:r>
    </w:p>
    <w:p>
      <w:pPr>
        <w:pStyle w:val="ListBullet"/>
        <w:spacing w:after="80" w:line="300" w:lineRule="auto"/>
      </w:pPr>
      <w:r>
        <w:rPr>
          <w:rFonts w:ascii="Century Gothic" w:hAnsi="Century Gothic"/>
          <w:b w:val="0"/>
          <w:i w:val="0"/>
          <w:color w:val="202020"/>
          <w:sz w:val="19"/>
        </w:rPr>
        <w:t>Quantificar maior e menor valor e a diferença.</w:t>
      </w:r>
    </w:p>
    <w:p>
      <w:pPr>
        <w:pStyle w:val="ListBullet"/>
        <w:spacing w:after="80" w:line="300" w:lineRule="auto"/>
      </w:pPr>
      <w:r>
        <w:rPr>
          <w:rFonts w:ascii="Century Gothic" w:hAnsi="Century Gothic"/>
          <w:b w:val="0"/>
          <w:i w:val="0"/>
          <w:color w:val="202020"/>
          <w:sz w:val="19"/>
        </w:rPr>
        <w:t>Identificar retificação, corte temporal, classificação ou erro de transmissão.</w:t>
      </w:r>
    </w:p>
    <w:p>
      <w:pPr>
        <w:pStyle w:val="Heading2"/>
        <w:keepNext/>
      </w:pPr>
      <w:r>
        <w:rPr>
          <w:rFonts w:ascii="Century Gothic" w:hAnsi="Century Gothic"/>
          <w:b/>
          <w:i w:val="0"/>
          <w:color w:val="07513A"/>
          <w:sz w:val="25"/>
        </w:rPr>
        <w:t>Registro da conclusão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Resultado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Selecionar: comprovado · não comprovado · indício · inconclusivo · não aplicável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Evidência-chave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Indicar documento, página/linha, competência e data da coleta.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Resposta objetiva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Redigir em até 180 palavras, iniciando pelo resultado e pela base numérica.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Limitação/diligência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Indicar exatamente o documento faltante e o efeito sobre a conclusão.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Revisão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Revisor, data e decisão sobre o texto final.</w:t>
            </w:r>
          </w:p>
        </w:tc>
      </w:tr>
    </w:tbl>
    <w:p>
      <w:pPr>
        <w:pageBreakBefore/>
        <w:spacing w:after="100"/>
      </w:pPr>
      <w:r>
        <w:rPr>
          <w:rFonts w:ascii="Century Gothic" w:hAnsi="Century Gothic"/>
          <w:b/>
          <w:i w:val="0"/>
          <w:color w:val="D8A928"/>
          <w:sz w:val="19"/>
        </w:rPr>
        <w:t>QV-03 · QUESITO 6</w:t>
      </w:r>
    </w:p>
    <w:p>
      <w:pPr>
        <w:keepNext/>
        <w:spacing w:after="200"/>
      </w:pPr>
      <w:r>
        <w:rPr>
          <w:rFonts w:ascii="Century Gothic" w:hAnsi="Century Gothic"/>
          <w:b/>
          <w:i w:val="0"/>
          <w:color w:val="07513A"/>
          <w:sz w:val="29"/>
        </w:rPr>
        <w:t>Os cálculos da GIPE e do Município estão aritmeticamente corretos, residindo a divergência exclusivamente na definição da base?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shd w:fill="07513A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FFFFFF"/>
                <w:sz w:val="17"/>
              </w:rPr>
              <w:t>Objetivo do teste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Separar erro matemático de divergência metodológica.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Critério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Memórias dos autos; operações matemáticas; MDF anual.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Evidências mínimas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Relatório GIPE nº 05/2023, memórias SEFIN/STPC e dados-fonte.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Memória de cálculo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Percentual de cada parte = numerador declarado ÷ base declarada; diferença aritmética e diferença de base em campos separados.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Produto da resposta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Conclusão em dois eixos: correção aritmética e aderência metodológica.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Cautela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Não presumir que toda divergência decorre da base; testar também numerador, período, exclusões e versões dos dados.</w:t>
            </w:r>
          </w:p>
        </w:tc>
      </w:tr>
    </w:tbl>
    <w:p>
      <w:pPr>
        <w:pStyle w:val="Heading2"/>
        <w:keepNext/>
      </w:pPr>
      <w:r>
        <w:rPr>
          <w:rFonts w:ascii="Century Gothic" w:hAnsi="Century Gothic"/>
          <w:b/>
          <w:i w:val="0"/>
          <w:color w:val="07513A"/>
          <w:sz w:val="25"/>
        </w:rPr>
        <w:t>Procedimentos</w:t>
      </w:r>
    </w:p>
    <w:p>
      <w:pPr>
        <w:pStyle w:val="ListBullet"/>
        <w:spacing w:after="80" w:line="300" w:lineRule="auto"/>
      </w:pPr>
      <w:r>
        <w:rPr>
          <w:rFonts w:ascii="Century Gothic" w:hAnsi="Century Gothic"/>
          <w:b w:val="0"/>
          <w:i w:val="0"/>
          <w:color w:val="202020"/>
          <w:sz w:val="19"/>
        </w:rPr>
        <w:t>Reexecutar cada cálculo usando exatamente a base informada por cada parte.</w:t>
      </w:r>
    </w:p>
    <w:p>
      <w:pPr>
        <w:pStyle w:val="ListBullet"/>
        <w:spacing w:after="80" w:line="300" w:lineRule="auto"/>
      </w:pPr>
      <w:r>
        <w:rPr>
          <w:rFonts w:ascii="Century Gothic" w:hAnsi="Century Gothic"/>
          <w:b w:val="0"/>
          <w:i w:val="0"/>
          <w:color w:val="202020"/>
          <w:sz w:val="19"/>
        </w:rPr>
        <w:t>Comparar percentuais, arredondamentos e somatórios.</w:t>
      </w:r>
    </w:p>
    <w:p>
      <w:pPr>
        <w:pStyle w:val="ListBullet"/>
        <w:spacing w:after="80" w:line="300" w:lineRule="auto"/>
      </w:pPr>
      <w:r>
        <w:rPr>
          <w:rFonts w:ascii="Century Gothic" w:hAnsi="Century Gothic"/>
          <w:b w:val="0"/>
          <w:i w:val="0"/>
          <w:color w:val="202020"/>
          <w:sz w:val="19"/>
        </w:rPr>
        <w:t>Depois comparar composição das bases e outras premissas.</w:t>
      </w:r>
    </w:p>
    <w:p>
      <w:pPr>
        <w:pStyle w:val="Heading2"/>
        <w:keepNext/>
      </w:pPr>
      <w:r>
        <w:rPr>
          <w:rFonts w:ascii="Century Gothic" w:hAnsi="Century Gothic"/>
          <w:b/>
          <w:i w:val="0"/>
          <w:color w:val="07513A"/>
          <w:sz w:val="25"/>
        </w:rPr>
        <w:t>Registro da conclusão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Resultado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Selecionar: comprovado · não comprovado · indício · inconclusivo · não aplicável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Evidência-chave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Indicar documento, página/linha, competência e data da coleta.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Resposta objetiva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Redigir em até 180 palavras, iniciando pelo resultado e pela base numérica.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Limitação/diligência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Indicar exatamente o documento faltante e o efeito sobre a conclusão.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Revisão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Revisor, data e decisão sobre o texto final.</w:t>
            </w:r>
          </w:p>
        </w:tc>
      </w:tr>
    </w:tbl>
    <w:p>
      <w:pPr>
        <w:pageBreakBefore/>
        <w:spacing w:after="100"/>
      </w:pPr>
      <w:r>
        <w:rPr>
          <w:rFonts w:ascii="Century Gothic" w:hAnsi="Century Gothic"/>
          <w:b/>
          <w:i w:val="0"/>
          <w:color w:val="D8A928"/>
          <w:sz w:val="19"/>
        </w:rPr>
        <w:t>QV-04 · QUESITO 7</w:t>
      </w:r>
    </w:p>
    <w:p>
      <w:pPr>
        <w:keepNext/>
        <w:spacing w:after="200"/>
      </w:pPr>
      <w:r>
        <w:rPr>
          <w:rFonts w:ascii="Century Gothic" w:hAnsi="Century Gothic"/>
          <w:b/>
          <w:i w:val="0"/>
          <w:color w:val="07513A"/>
          <w:sz w:val="29"/>
        </w:rPr>
        <w:t>A metodologia municipal é compatível com a prática nacional? Há Municípios que incluam os recursos dos incisos I e II do parágrafo único do art. 1º na base dos 60%/70%?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shd w:fill="07513A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FFFFFF"/>
                <w:sz w:val="17"/>
              </w:rPr>
              <w:t>Objetivo do teste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Comparar práticas documentadas sem transformar frequência em critério legal.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Critério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Leis e MDF anuais; RREOs e notas oficiais de entes comparáveis.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Evidências mínimas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Amostra de RREOs oficiais, notas técnicas e memórias públicas com página/linha.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Memória de cálculo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Quadro comparativo; sem inferência estatística quando a amostra não for representativa.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Produto da resposta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Descrição das práticas encontradas, aderência normativa e limitação da amostra.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Cautela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Prática nacional observada não altera o texto legal nem substitui a orientação da STN.</w:t>
            </w:r>
          </w:p>
        </w:tc>
      </w:tr>
    </w:tbl>
    <w:p>
      <w:pPr>
        <w:pStyle w:val="Heading2"/>
        <w:keepNext/>
      </w:pPr>
      <w:r>
        <w:rPr>
          <w:rFonts w:ascii="Century Gothic" w:hAnsi="Century Gothic"/>
          <w:b/>
          <w:i w:val="0"/>
          <w:color w:val="07513A"/>
          <w:sz w:val="25"/>
        </w:rPr>
        <w:t>Procedimentos</w:t>
      </w:r>
    </w:p>
    <w:p>
      <w:pPr>
        <w:pStyle w:val="ListBullet"/>
        <w:spacing w:after="80" w:line="300" w:lineRule="auto"/>
      </w:pPr>
      <w:r>
        <w:rPr>
          <w:rFonts w:ascii="Century Gothic" w:hAnsi="Century Gothic"/>
          <w:b w:val="0"/>
          <w:i w:val="0"/>
          <w:color w:val="202020"/>
          <w:sz w:val="19"/>
        </w:rPr>
        <w:t>Selecionar entes e exercícios comparáveis.</w:t>
      </w:r>
    </w:p>
    <w:p>
      <w:pPr>
        <w:pStyle w:val="ListBullet"/>
        <w:spacing w:after="80" w:line="300" w:lineRule="auto"/>
      </w:pPr>
      <w:r>
        <w:rPr>
          <w:rFonts w:ascii="Century Gothic" w:hAnsi="Century Gothic"/>
          <w:b w:val="0"/>
          <w:i w:val="0"/>
          <w:color w:val="202020"/>
          <w:sz w:val="19"/>
        </w:rPr>
        <w:t>Registrar a base declarada e se inclui recursos de MDE externos ao Fundo.</w:t>
      </w:r>
    </w:p>
    <w:p>
      <w:pPr>
        <w:pStyle w:val="ListBullet"/>
        <w:spacing w:after="80" w:line="300" w:lineRule="auto"/>
      </w:pPr>
      <w:r>
        <w:rPr>
          <w:rFonts w:ascii="Century Gothic" w:hAnsi="Century Gothic"/>
          <w:b w:val="0"/>
          <w:i w:val="0"/>
          <w:color w:val="202020"/>
          <w:sz w:val="19"/>
        </w:rPr>
        <w:t>Confrontar cada prática com o critério anual, sem generalizar a amostra.</w:t>
      </w:r>
    </w:p>
    <w:p>
      <w:pPr>
        <w:pStyle w:val="Heading2"/>
        <w:keepNext/>
      </w:pPr>
      <w:r>
        <w:rPr>
          <w:rFonts w:ascii="Century Gothic" w:hAnsi="Century Gothic"/>
          <w:b/>
          <w:i w:val="0"/>
          <w:color w:val="07513A"/>
          <w:sz w:val="25"/>
        </w:rPr>
        <w:t>Registro da conclusão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Resultado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Selecionar: comprovado · não comprovado · indício · inconclusivo · não aplicável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Evidência-chave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Indicar documento, página/linha, competência e data da coleta.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Resposta objetiva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Redigir em até 180 palavras, iniciando pelo resultado e pela base numérica.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Limitação/diligência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Indicar exatamente o documento faltante e o efeito sobre a conclusão.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Revisão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Revisor, data e decisão sobre o texto final.</w:t>
            </w:r>
          </w:p>
        </w:tc>
      </w:tr>
    </w:tbl>
    <w:p>
      <w:pPr>
        <w:pageBreakBefore/>
        <w:spacing w:after="100"/>
      </w:pPr>
      <w:r>
        <w:rPr>
          <w:rFonts w:ascii="Century Gothic" w:hAnsi="Century Gothic"/>
          <w:b/>
          <w:i w:val="0"/>
          <w:color w:val="D8A928"/>
          <w:sz w:val="19"/>
        </w:rPr>
        <w:t>QV-05 · QUESITO 8</w:t>
      </w:r>
    </w:p>
    <w:p>
      <w:pPr>
        <w:keepNext/>
        <w:spacing w:after="200"/>
      </w:pPr>
      <w:r>
        <w:rPr>
          <w:rFonts w:ascii="Century Gothic" w:hAnsi="Century Gothic"/>
          <w:b/>
          <w:i w:val="0"/>
          <w:color w:val="07513A"/>
          <w:sz w:val="29"/>
        </w:rPr>
        <w:t>Qual o montante adicional anual para atingir 60%/70% segundo a metodologia GIPE e seu percentual no orçamento total em 2019–2023?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shd w:fill="07513A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FFFFFF"/>
                <w:sz w:val="17"/>
              </w:rPr>
              <w:t>Objetivo do teste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Quantificar o impacto da metodologia alternativa por exercício.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Critério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Base GIPE transcrita dos autos; percentuais anuais; orçamento total municipal.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Evidências mínimas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Base GIPE, remuneração elegível, orçamento total e memória anual.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Memória de cálculo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Adicional = máx(0, base GIPE × percentual anual − remuneração elegível); impacto = adicional ÷ orçamento total.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Produto da resposta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Tabela 2019–2023 com adicional absoluto, impacto percentual e premissas.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Cautela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Resultado é cenário contrafactual condicionado à metodologia GIPE; não equivale automaticamente a obrigação reconhecida.</w:t>
            </w:r>
          </w:p>
        </w:tc>
      </w:tr>
    </w:tbl>
    <w:p>
      <w:pPr>
        <w:pStyle w:val="Heading2"/>
        <w:keepNext/>
      </w:pPr>
      <w:r>
        <w:rPr>
          <w:rFonts w:ascii="Century Gothic" w:hAnsi="Century Gothic"/>
          <w:b/>
          <w:i w:val="0"/>
          <w:color w:val="07513A"/>
          <w:sz w:val="25"/>
        </w:rPr>
        <w:t>Procedimentos</w:t>
      </w:r>
    </w:p>
    <w:p>
      <w:pPr>
        <w:pStyle w:val="ListBullet"/>
        <w:spacing w:after="80" w:line="300" w:lineRule="auto"/>
      </w:pPr>
      <w:r>
        <w:rPr>
          <w:rFonts w:ascii="Century Gothic" w:hAnsi="Century Gothic"/>
          <w:b w:val="0"/>
          <w:i w:val="0"/>
          <w:color w:val="202020"/>
          <w:sz w:val="19"/>
        </w:rPr>
        <w:t>Recalcular o mínimo GIPE por ano.</w:t>
      </w:r>
    </w:p>
    <w:p>
      <w:pPr>
        <w:pStyle w:val="ListBullet"/>
        <w:spacing w:after="80" w:line="300" w:lineRule="auto"/>
      </w:pPr>
      <w:r>
        <w:rPr>
          <w:rFonts w:ascii="Century Gothic" w:hAnsi="Century Gothic"/>
          <w:b w:val="0"/>
          <w:i w:val="0"/>
          <w:color w:val="202020"/>
          <w:sz w:val="19"/>
        </w:rPr>
        <w:t>Deduzir a remuneração já reconhecida como elegível.</w:t>
      </w:r>
    </w:p>
    <w:p>
      <w:pPr>
        <w:pStyle w:val="ListBullet"/>
        <w:spacing w:after="80" w:line="300" w:lineRule="auto"/>
      </w:pPr>
      <w:r>
        <w:rPr>
          <w:rFonts w:ascii="Century Gothic" w:hAnsi="Century Gothic"/>
          <w:b w:val="0"/>
          <w:i w:val="0"/>
          <w:color w:val="202020"/>
          <w:sz w:val="19"/>
        </w:rPr>
        <w:t>Dividir o adicional pelo orçamento total da mesma competência.</w:t>
      </w:r>
    </w:p>
    <w:p>
      <w:pPr>
        <w:pStyle w:val="Heading2"/>
        <w:keepNext/>
      </w:pPr>
      <w:r>
        <w:rPr>
          <w:rFonts w:ascii="Century Gothic" w:hAnsi="Century Gothic"/>
          <w:b/>
          <w:i w:val="0"/>
          <w:color w:val="07513A"/>
          <w:sz w:val="25"/>
        </w:rPr>
        <w:t>Registro da conclusão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Resultado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Selecionar: comprovado · não comprovado · indício · inconclusivo · não aplicável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Evidência-chave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Indicar documento, página/linha, competência e data da coleta.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Resposta objetiva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Redigir em até 180 palavras, iniciando pelo resultado e pela base numérica.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Limitação/diligência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Indicar exatamente o documento faltante e o efeito sobre a conclusão.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Revisão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Revisor, data e decisão sobre o texto final.</w:t>
            </w:r>
          </w:p>
        </w:tc>
      </w:tr>
    </w:tbl>
    <w:p>
      <w:pPr>
        <w:pageBreakBefore/>
        <w:spacing w:after="100"/>
      </w:pPr>
      <w:r>
        <w:rPr>
          <w:rFonts w:ascii="Century Gothic" w:hAnsi="Century Gothic"/>
          <w:b/>
          <w:i w:val="0"/>
          <w:color w:val="D8A928"/>
          <w:sz w:val="19"/>
        </w:rPr>
        <w:t>QV-06 · QUESITO 9</w:t>
      </w:r>
    </w:p>
    <w:p>
      <w:pPr>
        <w:keepNext/>
        <w:spacing w:after="200"/>
      </w:pPr>
      <w:r>
        <w:rPr>
          <w:rFonts w:ascii="Century Gothic" w:hAnsi="Century Gothic"/>
          <w:b/>
          <w:i w:val="0"/>
          <w:color w:val="07513A"/>
          <w:sz w:val="29"/>
        </w:rPr>
        <w:t>Independentemente da controvérsia, o Município cumpriu o mínimo constitucional de 25% em MDE em 2019–2023?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shd w:fill="07513A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FFFFFF"/>
                <w:sz w:val="17"/>
              </w:rPr>
              <w:t>Objetivo do teste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Reproduzir o indicador constitucional separadamente do Fundeb 60%/70%.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Critério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Constituição, art. 212; LDB, arts. 70 e 71; MDF anual.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Evidências mínimas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RREO Anexo 8, receitas de impostos, transferências, despesas MDE e deduções.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Memória de cálculo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Mínimo = base constitucional × 25%; aplicação líquida = MDE bruta − deduções; percentual = aplicação líquida ÷ base.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Produto da resposta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Tabela anual e conclusão independente da disputa sobre 60%/70%.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Cautela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Não usar o cumprimento dos 25% para compensar eventual descumprimento do percentual do Fundo, ou vice-versa.</w:t>
            </w:r>
          </w:p>
        </w:tc>
      </w:tr>
    </w:tbl>
    <w:p>
      <w:pPr>
        <w:pStyle w:val="Heading2"/>
        <w:keepNext/>
      </w:pPr>
      <w:r>
        <w:rPr>
          <w:rFonts w:ascii="Century Gothic" w:hAnsi="Century Gothic"/>
          <w:b/>
          <w:i w:val="0"/>
          <w:color w:val="07513A"/>
          <w:sz w:val="25"/>
        </w:rPr>
        <w:t>Procedimentos</w:t>
      </w:r>
    </w:p>
    <w:p>
      <w:pPr>
        <w:pStyle w:val="ListBullet"/>
        <w:spacing w:after="80" w:line="300" w:lineRule="auto"/>
      </w:pPr>
      <w:r>
        <w:rPr>
          <w:rFonts w:ascii="Century Gothic" w:hAnsi="Century Gothic"/>
          <w:b w:val="0"/>
          <w:i w:val="0"/>
          <w:color w:val="202020"/>
          <w:sz w:val="19"/>
        </w:rPr>
        <w:t>Reconstituir base de impostos e transferências.</w:t>
      </w:r>
    </w:p>
    <w:p>
      <w:pPr>
        <w:pStyle w:val="ListBullet"/>
        <w:spacing w:after="80" w:line="300" w:lineRule="auto"/>
      </w:pPr>
      <w:r>
        <w:rPr>
          <w:rFonts w:ascii="Century Gothic" w:hAnsi="Century Gothic"/>
          <w:b w:val="0"/>
          <w:i w:val="0"/>
          <w:color w:val="202020"/>
          <w:sz w:val="19"/>
        </w:rPr>
        <w:t>Aplicar deduções e despesas segundo o MDF do ano.</w:t>
      </w:r>
    </w:p>
    <w:p>
      <w:pPr>
        <w:pStyle w:val="ListBullet"/>
        <w:spacing w:after="80" w:line="300" w:lineRule="auto"/>
      </w:pPr>
      <w:r>
        <w:rPr>
          <w:rFonts w:ascii="Century Gothic" w:hAnsi="Century Gothic"/>
          <w:b w:val="0"/>
          <w:i w:val="0"/>
          <w:color w:val="202020"/>
          <w:sz w:val="19"/>
        </w:rPr>
        <w:t>Calcular percentual e insuficiência/superávit por exercício.</w:t>
      </w:r>
    </w:p>
    <w:p>
      <w:pPr>
        <w:pStyle w:val="Heading2"/>
        <w:keepNext/>
      </w:pPr>
      <w:r>
        <w:rPr>
          <w:rFonts w:ascii="Century Gothic" w:hAnsi="Century Gothic"/>
          <w:b/>
          <w:i w:val="0"/>
          <w:color w:val="07513A"/>
          <w:sz w:val="25"/>
        </w:rPr>
        <w:t>Registro da conclusão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Resultado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Selecionar: comprovado · não comprovado · indício · inconclusivo · não aplicável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Evidência-chave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Indicar documento, página/linha, competência e data da coleta.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Resposta objetiva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Redigir em até 180 palavras, iniciando pelo resultado e pela base numérica.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Limitação/diligência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Indicar exatamente o documento faltante e o efeito sobre a conclusão.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Revisão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Revisor, data e decisão sobre o texto final.</w:t>
            </w:r>
          </w:p>
        </w:tc>
      </w:tr>
    </w:tbl>
    <w:p>
      <w:pPr>
        <w:pageBreakBefore/>
        <w:spacing w:after="100"/>
      </w:pPr>
      <w:r>
        <w:rPr>
          <w:rFonts w:ascii="Century Gothic" w:hAnsi="Century Gothic"/>
          <w:b/>
          <w:i w:val="0"/>
          <w:color w:val="D8A928"/>
          <w:sz w:val="19"/>
        </w:rPr>
        <w:t>QT-01 · QUESITO 10</w:t>
      </w:r>
    </w:p>
    <w:p>
      <w:pPr>
        <w:keepNext/>
        <w:spacing w:after="200"/>
      </w:pPr>
      <w:r>
        <w:rPr>
          <w:rFonts w:ascii="Century Gothic" w:hAnsi="Century Gothic"/>
          <w:b/>
          <w:i w:val="0"/>
          <w:color w:val="07513A"/>
          <w:sz w:val="29"/>
        </w:rPr>
        <w:t>Os valores creditados nas contas vinculadas aos precatórios foram utilizados conforme a destinação legal e específica?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shd w:fill="07513A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FFFFFF"/>
                <w:sz w:val="17"/>
              </w:rPr>
              <w:t>Objetivo do teste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Rastrear cada entrada até o pagamento, aplicação e saldo.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Critério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Lei nº 14.113/2020, art. 47-A; Lei nº 14.325/2022; TCM-BA Resolução nº 1.346/2016.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Evidências mínimas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Extratos integrais, ordens bancárias, processos, folhas, aplicações e conciliações.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Memória de cálculo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Fluxo bancário por conta e período; saldo não rastreado e transferências identificadas separadamente.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Produto da resposta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Trilha completa por conta, lacunas e conclusão sobre destinação.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Cautela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Não compensar diferenças entre contas ou períodos sem transferência comprovada.</w:t>
            </w:r>
          </w:p>
        </w:tc>
      </w:tr>
    </w:tbl>
    <w:p>
      <w:pPr>
        <w:pStyle w:val="Heading2"/>
        <w:keepNext/>
      </w:pPr>
      <w:r>
        <w:rPr>
          <w:rFonts w:ascii="Century Gothic" w:hAnsi="Century Gothic"/>
          <w:b/>
          <w:i w:val="0"/>
          <w:color w:val="07513A"/>
          <w:sz w:val="25"/>
        </w:rPr>
        <w:t>Procedimentos</w:t>
      </w:r>
    </w:p>
    <w:p>
      <w:pPr>
        <w:pStyle w:val="ListBullet"/>
        <w:spacing w:after="80" w:line="300" w:lineRule="auto"/>
      </w:pPr>
      <w:r>
        <w:rPr>
          <w:rFonts w:ascii="Century Gothic" w:hAnsi="Century Gothic"/>
          <w:b w:val="0"/>
          <w:i w:val="0"/>
          <w:color w:val="202020"/>
          <w:sz w:val="19"/>
        </w:rPr>
        <w:t>Identificar conta, data, parcela, principal e rendimentos.</w:t>
      </w:r>
    </w:p>
    <w:p>
      <w:pPr>
        <w:pStyle w:val="ListBullet"/>
        <w:spacing w:after="80" w:line="300" w:lineRule="auto"/>
      </w:pPr>
      <w:r>
        <w:rPr>
          <w:rFonts w:ascii="Century Gothic" w:hAnsi="Century Gothic"/>
          <w:b w:val="0"/>
          <w:i w:val="0"/>
          <w:color w:val="202020"/>
          <w:sz w:val="19"/>
        </w:rPr>
        <w:t>Vincular cada débito a beneficiário/objeto e processo.</w:t>
      </w:r>
    </w:p>
    <w:p>
      <w:pPr>
        <w:pStyle w:val="ListBullet"/>
        <w:spacing w:after="80" w:line="300" w:lineRule="auto"/>
      </w:pPr>
      <w:r>
        <w:rPr>
          <w:rFonts w:ascii="Century Gothic" w:hAnsi="Century Gothic"/>
          <w:b w:val="0"/>
          <w:i w:val="0"/>
          <w:color w:val="202020"/>
          <w:sz w:val="19"/>
        </w:rPr>
        <w:t>Reconciliar saldo inicial + créditos + rendimentos − débitos = saldo final.</w:t>
      </w:r>
    </w:p>
    <w:p>
      <w:pPr>
        <w:pStyle w:val="Heading2"/>
        <w:keepNext/>
      </w:pPr>
      <w:r>
        <w:rPr>
          <w:rFonts w:ascii="Century Gothic" w:hAnsi="Century Gothic"/>
          <w:b/>
          <w:i w:val="0"/>
          <w:color w:val="07513A"/>
          <w:sz w:val="25"/>
        </w:rPr>
        <w:t>Registro da conclusão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Resultado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Selecionar: comprovado · não comprovado · indício · inconclusivo · não aplicável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Evidência-chave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Indicar documento, página/linha, competência e data da coleta.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Resposta objetiva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Redigir em até 180 palavras, iniciando pelo resultado e pela base numérica.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Limitação/diligência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Indicar exatamente o documento faltante e o efeito sobre a conclusão.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Revisão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Revisor, data e decisão sobre o texto final.</w:t>
            </w:r>
          </w:p>
        </w:tc>
      </w:tr>
    </w:tbl>
    <w:p>
      <w:pPr>
        <w:pageBreakBefore/>
        <w:spacing w:after="100"/>
      </w:pPr>
      <w:r>
        <w:rPr>
          <w:rFonts w:ascii="Century Gothic" w:hAnsi="Century Gothic"/>
          <w:b/>
          <w:i w:val="0"/>
          <w:color w:val="D8A928"/>
          <w:sz w:val="19"/>
        </w:rPr>
        <w:t>QT-02 · QUESITO 11</w:t>
      </w:r>
    </w:p>
    <w:p>
      <w:pPr>
        <w:keepNext/>
        <w:spacing w:after="200"/>
      </w:pPr>
      <w:r>
        <w:rPr>
          <w:rFonts w:ascii="Century Gothic" w:hAnsi="Century Gothic"/>
          <w:b/>
          <w:i w:val="0"/>
          <w:color w:val="07513A"/>
          <w:sz w:val="29"/>
        </w:rPr>
        <w:t>Houve destinação exclusiva para ações de manutenção e desenvolvimento do ensino?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shd w:fill="07513A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FFFFFF"/>
                <w:sz w:val="17"/>
              </w:rPr>
              <w:t>Objetivo do teste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Classificar todos os débitos segundo MDE e rateio específico.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Critério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LDB, arts. 70 e 71; legislação do Fundo e do precatório.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Evidências mínimas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Processos, objetos, unidades beneficiadas, notas, contratos e pagamentos.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Memória de cálculo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Total e percentual por categoria sobre os débitos identificados.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Produto da resposta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Lista de transações e conclusão sobre exclusividade, com ressalva para itens sem evidência.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Cautela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Rateio de profissionais e outras MDE obedecem critérios distintos e devem permanecer separados.</w:t>
            </w:r>
          </w:p>
        </w:tc>
      </w:tr>
    </w:tbl>
    <w:p>
      <w:pPr>
        <w:pStyle w:val="Heading2"/>
        <w:keepNext/>
      </w:pPr>
      <w:r>
        <w:rPr>
          <w:rFonts w:ascii="Century Gothic" w:hAnsi="Century Gothic"/>
          <w:b/>
          <w:i w:val="0"/>
          <w:color w:val="07513A"/>
          <w:sz w:val="25"/>
        </w:rPr>
        <w:t>Procedimentos</w:t>
      </w:r>
    </w:p>
    <w:p>
      <w:pPr>
        <w:pStyle w:val="ListBullet"/>
        <w:spacing w:after="80" w:line="300" w:lineRule="auto"/>
      </w:pPr>
      <w:r>
        <w:rPr>
          <w:rFonts w:ascii="Century Gothic" w:hAnsi="Century Gothic"/>
          <w:b w:val="0"/>
          <w:i w:val="0"/>
          <w:color w:val="202020"/>
          <w:sz w:val="19"/>
        </w:rPr>
        <w:t>Aplicar teste de finalidade a cada transação.</w:t>
      </w:r>
    </w:p>
    <w:p>
      <w:pPr>
        <w:pStyle w:val="ListBullet"/>
        <w:spacing w:after="80" w:line="300" w:lineRule="auto"/>
      </w:pPr>
      <w:r>
        <w:rPr>
          <w:rFonts w:ascii="Century Gothic" w:hAnsi="Century Gothic"/>
          <w:b w:val="0"/>
          <w:i w:val="0"/>
          <w:color w:val="202020"/>
          <w:sz w:val="19"/>
        </w:rPr>
        <w:t>Separar rateio de profissionais, outras MDE, não MDE e inconclusivo.</w:t>
      </w:r>
    </w:p>
    <w:p>
      <w:pPr>
        <w:pStyle w:val="ListBullet"/>
        <w:spacing w:after="80" w:line="300" w:lineRule="auto"/>
      </w:pPr>
      <w:r>
        <w:rPr>
          <w:rFonts w:ascii="Century Gothic" w:hAnsi="Century Gothic"/>
          <w:b w:val="0"/>
          <w:i w:val="0"/>
          <w:color w:val="202020"/>
          <w:sz w:val="19"/>
        </w:rPr>
        <w:t>Quantificar as categorias e revisar itens materiais.</w:t>
      </w:r>
    </w:p>
    <w:p>
      <w:pPr>
        <w:pStyle w:val="Heading2"/>
        <w:keepNext/>
      </w:pPr>
      <w:r>
        <w:rPr>
          <w:rFonts w:ascii="Century Gothic" w:hAnsi="Century Gothic"/>
          <w:b/>
          <w:i w:val="0"/>
          <w:color w:val="07513A"/>
          <w:sz w:val="25"/>
        </w:rPr>
        <w:t>Registro da conclusão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Resultado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Selecionar: comprovado · não comprovado · indício · inconclusivo · não aplicável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Evidência-chave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Indicar documento, página/linha, competência e data da coleta.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Resposta objetiva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Redigir em até 180 palavras, iniciando pelo resultado e pela base numérica.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Limitação/diligência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Indicar exatamente o documento faltante e o efeito sobre a conclusão.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Revisão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Revisor, data e decisão sobre o texto final.</w:t>
            </w:r>
          </w:p>
        </w:tc>
      </w:tr>
    </w:tbl>
    <w:p>
      <w:pPr>
        <w:pageBreakBefore/>
        <w:spacing w:after="100"/>
      </w:pPr>
      <w:r>
        <w:rPr>
          <w:rFonts w:ascii="Century Gothic" w:hAnsi="Century Gothic"/>
          <w:b/>
          <w:i w:val="0"/>
          <w:color w:val="D8A928"/>
          <w:sz w:val="19"/>
        </w:rPr>
        <w:t>QT-03 · QUESITO 12</w:t>
      </w:r>
    </w:p>
    <w:p>
      <w:pPr>
        <w:keepNext/>
        <w:spacing w:after="200"/>
      </w:pPr>
      <w:r>
        <w:rPr>
          <w:rFonts w:ascii="Century Gothic" w:hAnsi="Century Gothic"/>
          <w:b/>
          <w:i w:val="0"/>
          <w:color w:val="07513A"/>
          <w:sz w:val="29"/>
        </w:rPr>
        <w:t>Houve aplicações, saques ou transferências para contas não vinculadas ou de finalidade diversa?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shd w:fill="07513A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FFFFFF"/>
                <w:sz w:val="17"/>
              </w:rPr>
              <w:t>Objetivo do teste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Detectar desvio de fluxo, conta transitória e destinação não comprovada.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Critério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Lei nº 14.113/2020, arts. 21 e 24; normas específicas do precatório e da conta.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Evidências mínimas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Extratos, comprovantes de aplicação, contas de destino, ordens e justificativas.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Memória de cálculo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Diferença bancária e saldo por conta; total transferido sem retorno ou comprovação.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Produto da resposta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Mapa de transferências, finalidade, retorno e itens não rastreados.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Cautela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Transferência operacional pode ser admitida em hipóteses legais específicas; verificar o texto vigente no período e a conta receptora.</w:t>
            </w:r>
          </w:p>
        </w:tc>
      </w:tr>
    </w:tbl>
    <w:p>
      <w:pPr>
        <w:pStyle w:val="Heading2"/>
        <w:keepNext/>
      </w:pPr>
      <w:r>
        <w:rPr>
          <w:rFonts w:ascii="Century Gothic" w:hAnsi="Century Gothic"/>
          <w:b/>
          <w:i w:val="0"/>
          <w:color w:val="07513A"/>
          <w:sz w:val="25"/>
        </w:rPr>
        <w:t>Procedimentos</w:t>
      </w:r>
    </w:p>
    <w:p>
      <w:pPr>
        <w:pStyle w:val="ListBullet"/>
        <w:spacing w:after="80" w:line="300" w:lineRule="auto"/>
      </w:pPr>
      <w:r>
        <w:rPr>
          <w:rFonts w:ascii="Century Gothic" w:hAnsi="Century Gothic"/>
          <w:b w:val="0"/>
          <w:i w:val="0"/>
          <w:color w:val="202020"/>
          <w:sz w:val="19"/>
        </w:rPr>
        <w:t>Listar toda movimentação entre contas e identificar titular/finalidade.</w:t>
      </w:r>
    </w:p>
    <w:p>
      <w:pPr>
        <w:pStyle w:val="ListBullet"/>
        <w:spacing w:after="80" w:line="300" w:lineRule="auto"/>
      </w:pPr>
      <w:r>
        <w:rPr>
          <w:rFonts w:ascii="Century Gothic" w:hAnsi="Century Gothic"/>
          <w:b w:val="0"/>
          <w:i w:val="0"/>
          <w:color w:val="202020"/>
          <w:sz w:val="19"/>
        </w:rPr>
        <w:t>Conferir retorno de aplicações e rendimentos.</w:t>
      </w:r>
    </w:p>
    <w:p>
      <w:pPr>
        <w:pStyle w:val="ListBullet"/>
        <w:spacing w:after="80" w:line="300" w:lineRule="auto"/>
      </w:pPr>
      <w:r>
        <w:rPr>
          <w:rFonts w:ascii="Century Gothic" w:hAnsi="Century Gothic"/>
          <w:b w:val="0"/>
          <w:i w:val="0"/>
          <w:color w:val="202020"/>
          <w:sz w:val="19"/>
        </w:rPr>
        <w:t>Investigar saques, transferências sem processo e contas de destino não vinculadas.</w:t>
      </w:r>
    </w:p>
    <w:p>
      <w:pPr>
        <w:pStyle w:val="Heading2"/>
        <w:keepNext/>
      </w:pPr>
      <w:r>
        <w:rPr>
          <w:rFonts w:ascii="Century Gothic" w:hAnsi="Century Gothic"/>
          <w:b/>
          <w:i w:val="0"/>
          <w:color w:val="07513A"/>
          <w:sz w:val="25"/>
        </w:rPr>
        <w:t>Registro da conclusão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Resultado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Selecionar: comprovado · não comprovado · indício · inconclusivo · não aplicável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Evidência-chave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Indicar documento, página/linha, competência e data da coleta.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Resposta objetiva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Redigir em até 180 palavras, iniciando pelo resultado e pela base numérica.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Limitação/diligência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Indicar exatamente o documento faltante e o efeito sobre a conclusão.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Revisão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Revisor, data e decisão sobre o texto final.</w:t>
            </w:r>
          </w:p>
        </w:tc>
      </w:tr>
    </w:tbl>
    <w:p>
      <w:pPr>
        <w:pageBreakBefore/>
        <w:spacing w:after="100"/>
      </w:pPr>
      <w:r>
        <w:rPr>
          <w:rFonts w:ascii="Century Gothic" w:hAnsi="Century Gothic"/>
          <w:b/>
          <w:i w:val="0"/>
          <w:color w:val="D8A928"/>
          <w:sz w:val="19"/>
        </w:rPr>
        <w:t>QT-04 · QUESITO 13</w:t>
      </w:r>
    </w:p>
    <w:p>
      <w:pPr>
        <w:keepNext/>
        <w:spacing w:after="200"/>
      </w:pPr>
      <w:r>
        <w:rPr>
          <w:rFonts w:ascii="Century Gothic" w:hAnsi="Century Gothic"/>
          <w:b/>
          <w:i w:val="0"/>
          <w:color w:val="07513A"/>
          <w:sz w:val="29"/>
        </w:rPr>
        <w:t>Os pagamentos foram precedidos de regular empenho e liquidação, conforme a Lei nº 4.320/1964?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shd w:fill="07513A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FFFFFF"/>
                <w:sz w:val="17"/>
              </w:rPr>
              <w:t>Objetivo do teste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Testar a sequência e o suporte do ciclo da despesa.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Critério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Lei nº 4.320/1964, arts. 58 a 65; MCASP.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Evidências mínimas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Empenho, liquidação, nota, atesto, pagamento, extrato e razão.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Memória de cálculo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Empenhado − liquidado; liquidado − pago; diferença por transação e no agregado.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Produto da resposta</w:t>
            </w:r>
          </w:p>
        </w:tc>
        <w:tc>
          <w:tcPr>
            <w:tcW w:type="dxa" w:w="6660"/>
            <w:shd w:fill="F4F7F5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Quadro por despesa e conclusão sobre sequência, suficiência e suporte.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Cautela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A existência de número de empenho no sistema não substitui a prova do objeto, da entrega e da liquidação.</w:t>
            </w:r>
          </w:p>
        </w:tc>
      </w:tr>
    </w:tbl>
    <w:p>
      <w:pPr>
        <w:pStyle w:val="Heading2"/>
        <w:keepNext/>
      </w:pPr>
      <w:r>
        <w:rPr>
          <w:rFonts w:ascii="Century Gothic" w:hAnsi="Century Gothic"/>
          <w:b/>
          <w:i w:val="0"/>
          <w:color w:val="07513A"/>
          <w:sz w:val="25"/>
        </w:rPr>
        <w:t>Procedimentos</w:t>
      </w:r>
    </w:p>
    <w:p>
      <w:pPr>
        <w:pStyle w:val="ListBullet"/>
        <w:spacing w:after="80" w:line="300" w:lineRule="auto"/>
      </w:pPr>
      <w:r>
        <w:rPr>
          <w:rFonts w:ascii="Century Gothic" w:hAnsi="Century Gothic"/>
          <w:b w:val="0"/>
          <w:i w:val="0"/>
          <w:color w:val="202020"/>
          <w:sz w:val="19"/>
        </w:rPr>
        <w:t>Vincular cada pagamento ao empenho e à liquidação.</w:t>
      </w:r>
    </w:p>
    <w:p>
      <w:pPr>
        <w:pStyle w:val="ListBullet"/>
        <w:spacing w:after="80" w:line="300" w:lineRule="auto"/>
      </w:pPr>
      <w:r>
        <w:rPr>
          <w:rFonts w:ascii="Century Gothic" w:hAnsi="Century Gothic"/>
          <w:b w:val="0"/>
          <w:i w:val="0"/>
          <w:color w:val="202020"/>
          <w:sz w:val="19"/>
        </w:rPr>
        <w:t>Conferir datas, valores, objeto, fonte e responsável pelo atesto.</w:t>
      </w:r>
    </w:p>
    <w:p>
      <w:pPr>
        <w:pStyle w:val="ListBullet"/>
        <w:spacing w:after="80" w:line="300" w:lineRule="auto"/>
      </w:pPr>
      <w:r>
        <w:rPr>
          <w:rFonts w:ascii="Century Gothic" w:hAnsi="Century Gothic"/>
          <w:b w:val="0"/>
          <w:i w:val="0"/>
          <w:color w:val="202020"/>
          <w:sz w:val="19"/>
        </w:rPr>
        <w:t>Registrar pagamento anterior à liquidação, insuficiência de empenho e documento ausente.</w:t>
      </w:r>
    </w:p>
    <w:p>
      <w:pPr>
        <w:pStyle w:val="Heading2"/>
        <w:keepNext/>
      </w:pPr>
      <w:r>
        <w:rPr>
          <w:rFonts w:ascii="Century Gothic" w:hAnsi="Century Gothic"/>
          <w:b/>
          <w:i w:val="0"/>
          <w:color w:val="07513A"/>
          <w:sz w:val="25"/>
        </w:rPr>
        <w:t>Registro da conclusão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Resultado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Selecionar: comprovado · não comprovado · indício · inconclusivo · não aplicável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Evidência-chave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Indicar documento, página/linha, competência e data da coleta.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Resposta objetiva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Redigir em até 180 palavras, iniciando pelo resultado e pela base numérica.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Limitação/diligência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Indicar exatamente o documento faltante e o efeito sobre a conclusão.</w:t>
            </w:r>
          </w:p>
        </w:tc>
      </w:tr>
      <w:tr>
        <w:tc>
          <w:tcPr>
            <w:tcW w:type="dxa" w:w="2700"/>
            <w:shd w:fill="EAF5EE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/>
                <w:i w:val="0"/>
                <w:color w:val="07513A"/>
                <w:sz w:val="17"/>
              </w:rPr>
              <w:t>Revisão</w:t>
            </w:r>
          </w:p>
        </w:tc>
        <w:tc>
          <w:tcPr>
            <w:tcW w:type="dxa" w:w="6660"/>
            <w:shd w:fill="FFF2CC"/>
            <w:vAlign w:val="center"/>
          </w:tcPr>
          <w:p>
            <w:pPr>
              <w:spacing w:after="0" w:line="276" w:lineRule="auto"/>
            </w:pPr>
            <w:r/>
            <w:r>
              <w:rPr>
                <w:rFonts w:ascii="Century Gothic" w:hAnsi="Century Gothic"/>
                <w:b w:val="0"/>
                <w:i w:val="0"/>
                <w:color w:val="202020"/>
                <w:sz w:val="17"/>
              </w:rPr>
              <w:t>Revisor, data e decisão sobre o texto final.</w:t>
            </w:r>
          </w:p>
        </w:tc>
      </w:tr>
    </w:tbl>
    <w:p>
      <w:pPr>
        <w:pageBreakBefore/>
      </w:pPr>
    </w:p>
    <w:p>
      <w:pPr>
        <w:pStyle w:val="Heading1"/>
        <w:keepNext/>
      </w:pPr>
      <w:r>
        <w:rPr>
          <w:rFonts w:ascii="Century Gothic" w:hAnsi="Century Gothic"/>
          <w:b/>
          <w:i w:val="0"/>
          <w:color w:val="07513A"/>
          <w:sz w:val="30"/>
        </w:rPr>
        <w:t>Fontes normativas e controle de versão</w:t>
      </w:r>
    </w:p>
    <w:p>
      <w:pPr>
        <w:pStyle w:val="ListBullet"/>
      </w:pPr>
      <w:r>
        <w:t>Tesouro Transparente — Transferências Constitucionais Realizadas; STN — Ementário da Receita do exercício.</w:t>
      </w:r>
    </w:p>
    <w:p>
      <w:pPr>
        <w:pStyle w:val="ListBullet"/>
      </w:pPr>
      <w:r>
        <w:t>TCM-BA — Resolução nº 1.268/2008 consolidada: fontes 95 e 96 para precatórios do FUNDEF até 2022; preservar códigos históricos.</w:t>
      </w:r>
    </w:p>
    <w:p>
      <w:pPr>
        <w:pStyle w:val="ListBullet"/>
        <w:spacing w:after="80" w:line="300" w:lineRule="auto"/>
      </w:pPr>
      <w:r>
        <w:rPr>
          <w:rFonts w:ascii="Century Gothic" w:hAnsi="Century Gothic"/>
          <w:b w:val="0"/>
          <w:i w:val="0"/>
          <w:color w:val="202020"/>
          <w:sz w:val="19"/>
        </w:rPr>
        <w:t>Lei nº 11.494/2007, art. 22 — regra histórica de 60% para 2019–2020.</w:t>
      </w:r>
    </w:p>
    <w:p>
      <w:pPr>
        <w:pStyle w:val="ListBullet"/>
        <w:spacing w:after="80" w:line="300" w:lineRule="auto"/>
      </w:pPr>
      <w:r>
        <w:rPr>
          <w:rFonts w:ascii="Century Gothic" w:hAnsi="Century Gothic"/>
          <w:b w:val="0"/>
          <w:i w:val="0"/>
          <w:color w:val="202020"/>
          <w:sz w:val="19"/>
        </w:rPr>
        <w:t>Lei nº 14.113/2020, arts. 20 a 29, 36 a 38 e 47-A; Lei nº 14.325/2022.</w:t>
      </w:r>
    </w:p>
    <w:p>
      <w:pPr>
        <w:pStyle w:val="ListBullet"/>
        <w:spacing w:after="80" w:line="300" w:lineRule="auto"/>
      </w:pPr>
      <w:r>
        <w:rPr>
          <w:rFonts w:ascii="Century Gothic" w:hAnsi="Century Gothic"/>
          <w:b w:val="0"/>
          <w:i w:val="0"/>
          <w:color w:val="202020"/>
          <w:sz w:val="19"/>
        </w:rPr>
        <w:t>Resolução TCM-BA nº 1.346/2016 — precatórios do FUNDEF; Resolução nº 1.430/2021 — FUNDEB permanente.</w:t>
      </w:r>
    </w:p>
    <w:p>
      <w:pPr>
        <w:pStyle w:val="ListBullet"/>
        <w:spacing w:after="80" w:line="300" w:lineRule="auto"/>
      </w:pPr>
      <w:r>
        <w:rPr>
          <w:rFonts w:ascii="Century Gothic" w:hAnsi="Century Gothic"/>
          <w:b w:val="0"/>
          <w:i w:val="0"/>
          <w:color w:val="202020"/>
          <w:sz w:val="19"/>
        </w:rPr>
        <w:t>Portaria STN nº 710/2021 e alterações: fonte 544 para precatórios do FUNDEF a partir de 2023; de-para 95 → 544 e 96 → 544. A fonte 545 é distinta, refere-se a precatórios do FUNDEB (2007–2020) e não sucede a fonte 96; demais fontes 540 a 546 e marcadores conforme a tabela do exercício.</w:t>
      </w:r>
    </w:p>
    <w:p>
      <w:pPr>
        <w:pStyle w:val="ListBullet"/>
        <w:spacing w:after="80" w:line="300" w:lineRule="auto"/>
      </w:pPr>
      <w:r>
        <w:rPr>
          <w:rFonts w:ascii="Century Gothic" w:hAnsi="Century Gothic"/>
          <w:b w:val="0"/>
          <w:i w:val="0"/>
          <w:color w:val="202020"/>
          <w:sz w:val="19"/>
        </w:rPr>
        <w:t>MDF vigente em cada exercício; SIOPE; RREO Anexo 8; SIGA/e-TCM e extratos das contas vinculadas.</w:t>
      </w:r>
    </w:p>
    <w:p>
      <w:pPr>
        <w:pStyle w:val="ListBullet"/>
        <w:spacing w:after="80" w:line="300" w:lineRule="auto"/>
      </w:pPr>
      <w:r>
        <w:rPr>
          <w:rFonts w:ascii="Century Gothic" w:hAnsi="Century Gothic"/>
          <w:b w:val="0"/>
          <w:i w:val="0"/>
          <w:color w:val="202020"/>
          <w:sz w:val="19"/>
        </w:rPr>
        <w:t>Constituição, art. 212; LDB, arts. 70 e 71; Lei nº 4.320/1964, arts. 58 a 65.</w:t>
      </w:r>
    </w:p>
    <w:p>
      <w:r>
        <w:rPr>
          <w:rFonts w:ascii="Century Gothic" w:hAnsi="Century Gothic"/>
          <w:b/>
          <w:i w:val="0"/>
          <w:color w:val="07513A"/>
          <w:sz w:val="19"/>
        </w:rPr>
        <w:t xml:space="preserve">Nota de controle: </w:t>
      </w:r>
      <w:r>
        <w:rPr>
          <w:rFonts w:ascii="Century Gothic" w:hAnsi="Century Gothic"/>
          <w:b w:val="0"/>
          <w:i w:val="0"/>
          <w:color w:val="202020"/>
          <w:sz w:val="19"/>
        </w:rPr>
        <w:t>confirmar a vigência e o inteiro teor das normas na data do fato analisado. Normas atuais não devem ser aplicadas retroativamente sem fundamento.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52" w:right="1440" w:bottom="1080" w:left="1440" w:header="504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entury Gothic" w:hAnsi="Century Gothic"/>
        <w:b w:val="0"/>
        <w:i w:val="0"/>
        <w:color w:val="5F6B66"/>
        <w:sz w:val="16"/>
      </w:rPr>
      <w:t xml:space="preserve">ELOS · CEAT/MPBA  |  </w:t>
    </w:r>
    <w:r>
      <w:fldSimple w:instr="PAGE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dxa" w:w="9360"/>
      <w:jc w:val="center"/>
      <w:tblLayout w:type="fixed"/>
      <w:tblLook w:firstColumn="1" w:firstRow="1" w:lastColumn="0" w:lastRow="0" w:noHBand="0" w:noVBand="1" w:val="04A0"/>
      <w:tblInd w:w="120" w:type="dxa"/>
    </w:tblPr>
    <w:tblGrid>
      <w:gridCol w:w="6500"/>
      <w:gridCol w:w="2860"/>
    </w:tblGrid>
    <w:tr>
      <w:tc>
        <w:tcPr>
          <w:tcW w:type="dxa" w:w="6500"/>
          <w:tcMar>
            <w:top w:w="80" w:type="dxa"/>
            <w:bottom w:w="80" w:type="dxa"/>
            <w:start w:w="120" w:type="dxa"/>
            <w:end w:w="120" w:type="dxa"/>
          </w:tcMar>
          <w:vAlign w:val="center"/>
        </w:tcPr>
        <w:p>
          <w:pPr>
            <w:spacing w:after="0" w:line="276" w:lineRule="auto"/>
          </w:pPr>
          <w:r/>
          <w:r>
            <w:rPr>
              <w:rFonts w:ascii="Century Gothic" w:hAnsi="Century Gothic"/>
              <w:b/>
              <w:i w:val="0"/>
              <w:color w:val="07513A"/>
              <w:sz w:val="17"/>
            </w:rPr>
            <w:t>Módulo 4 · Roteiro de resposta aos quesitos</w:t>
          </w:r>
        </w:p>
      </w:tc>
      <w:tc>
        <w:tcPr>
          <w:tcW w:type="dxa" w:w="2860"/>
          <w:tcMar>
            <w:top w:w="80" w:type="dxa"/>
            <w:bottom w:w="80" w:type="dxa"/>
            <w:start w:w="120" w:type="dxa"/>
            <w:end w:w="120" w:type="dxa"/>
          </w:tcMar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731520" cy="426651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-elos-oficia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1520" cy="42665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entury Gothic" w:hAnsi="Century Gothic"/>
      <w:color w:val="202020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entury Gothic" w:hAnsi="Century Gothic"/>
      <w:b/>
      <w:bCs/>
      <w:color w:val="07513A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entury Gothic" w:hAnsi="Century Gothic"/>
      <w:b/>
      <w:bCs/>
      <w:color w:val="07513A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entury Gothic" w:hAnsi="Century Gothic"/>
      <w:b/>
      <w:bCs/>
      <w:color w:val="07513A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Destinação e Rastreamento de Recursos do FUNDEB</dc:title>
  <dc:subject>Roteiro de resposta aos quesitos e papéis de trabalho</dc:subject>
  <dc:creator>Elos Consultoria e Treinamento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