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40" w:after="320"/>
        <w:jc w:val="center"/>
      </w:pPr>
      <w:r>
        <w:rPr>
          <w:rFonts w:ascii="Calibri" w:hAnsi="Calibri" w:eastAsia="Calibri"/>
          <w:b/>
          <w:color w:val="D9A321"/>
          <w:sz w:val="22"/>
        </w:rPr>
        <w:t>PROCEDIMENTO OPERACIONAL PADRÃO</w:t>
      </w:r>
    </w:p>
    <w:p>
      <w:pPr>
        <w:spacing w:after="200"/>
        <w:jc w:val="center"/>
      </w:pPr>
      <w:r>
        <w:rPr>
          <w:rFonts w:ascii="Calibri" w:hAnsi="Calibri" w:eastAsia="Calibri"/>
          <w:b/>
          <w:color w:val="084C3A"/>
          <w:sz w:val="56"/>
        </w:rPr>
        <w:t>Alimentação dos Papéis de Trabalho</w:t>
      </w:r>
    </w:p>
    <w:p>
      <w:pPr>
        <w:spacing w:after="560"/>
        <w:jc w:val="center"/>
      </w:pPr>
      <w:r>
        <w:rPr>
          <w:rFonts w:ascii="Calibri" w:hAnsi="Calibri" w:eastAsia="Calibri"/>
          <w:color w:val="0B6B4B"/>
          <w:sz w:val="28"/>
        </w:rPr>
        <w:t>Módulo 3 – Aspectos Contábeis: Festejos Juninos</w:t>
        <w:br/>
        <w:t>Módulo 4 – Destinação e Rastreamento de Recursos do FUNDEB</w:t>
      </w:r>
    </w:p>
    <w:p>
      <w:pPr>
        <w:spacing w:before="1440" w:after="80"/>
        <w:jc w:val="center"/>
      </w:pPr>
      <w:r>
        <w:rPr>
          <w:rFonts w:ascii="Calibri" w:hAnsi="Calibri" w:eastAsia="Calibri"/>
          <w:b/>
          <w:color w:val="084C3A"/>
          <w:sz w:val="23"/>
        </w:rPr>
        <w:t>Curso de Formação MPBA | CEAT</w:t>
      </w:r>
    </w:p>
    <w:p>
      <w:pPr>
        <w:jc w:val="center"/>
      </w:pPr>
      <w:r>
        <w:rPr>
          <w:rFonts w:ascii="Calibri" w:hAnsi="Calibri" w:eastAsia="Calibri"/>
          <w:i/>
          <w:color w:val="6B7280"/>
          <w:sz w:val="20"/>
        </w:rPr>
        <w:t>Versão 1.0 · 16 de agosto de 2026</w:t>
      </w:r>
    </w:p>
    <w:p>
      <w:r>
        <w:br w:type="page"/>
      </w:r>
    </w:p>
    <w:p>
      <w:pPr>
        <w:pStyle w:val="Heading1"/>
        <w:keepNext/>
      </w:pPr>
      <w:r>
        <w:t>1. Controle do documento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000"/>
        <w:gridCol w:w="7360"/>
      </w:tblGrid>
      <w:tr>
        <w:trPr>
          <w:tblHeader w:val="true"/>
          <w:cantSplit w:val="true"/>
        </w:trPr>
        <w:tc>
          <w:tcPr>
            <w:tcW w:type="dxa" w:w="20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73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Informação</w:t>
            </w:r>
          </w:p>
        </w:tc>
      </w:tr>
      <w:tr>
        <w:trPr>
          <w:cantSplit w:val="true"/>
        </w:trPr>
        <w:tc>
          <w:tcPr>
            <w:tcW w:type="dxa" w:w="2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Código</w:t>
            </w:r>
          </w:p>
        </w:tc>
        <w:tc>
          <w:tcPr>
            <w:tcW w:type="dxa" w:w="7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POP-CEAT-PT-M03-M04</w:t>
            </w:r>
          </w:p>
        </w:tc>
      </w:tr>
      <w:tr>
        <w:trPr>
          <w:cantSplit w:val="true"/>
        </w:trPr>
        <w:tc>
          <w:tcPr>
            <w:tcW w:type="dxa" w:w="2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Versão</w:t>
            </w:r>
          </w:p>
        </w:tc>
        <w:tc>
          <w:tcPr>
            <w:tcW w:type="dxa" w:w="7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1.0</w:t>
            </w:r>
          </w:p>
        </w:tc>
      </w:tr>
      <w:tr>
        <w:trPr>
          <w:cantSplit w:val="true"/>
        </w:trPr>
        <w:tc>
          <w:tcPr>
            <w:tcW w:type="dxa" w:w="2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Aplicação</w:t>
            </w:r>
          </w:p>
        </w:tc>
        <w:tc>
          <w:tcPr>
            <w:tcW w:type="dxa" w:w="7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Formação e execução assistida dos papéis de trabalho dos Módulos 3 e 4</w:t>
            </w:r>
          </w:p>
        </w:tc>
      </w:tr>
      <w:tr>
        <w:trPr>
          <w:cantSplit w:val="true"/>
        </w:trPr>
        <w:tc>
          <w:tcPr>
            <w:tcW w:type="dxa" w:w="2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Responsável pela execução</w:t>
            </w:r>
          </w:p>
        </w:tc>
        <w:tc>
          <w:tcPr>
            <w:tcW w:type="dxa" w:w="7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Contador(a)/auditor(a) designado(a)</w:t>
            </w:r>
          </w:p>
        </w:tc>
      </w:tr>
      <w:tr>
        <w:trPr>
          <w:cantSplit w:val="true"/>
        </w:trPr>
        <w:tc>
          <w:tcPr>
            <w:tcW w:type="dxa" w:w="2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Responsável pela revisão</w:t>
            </w:r>
          </w:p>
        </w:tc>
        <w:tc>
          <w:tcPr>
            <w:tcW w:type="dxa" w:w="7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Supervisor(a) técnico(a) designado(a)</w:t>
            </w:r>
          </w:p>
        </w:tc>
      </w:tr>
      <w:tr>
        <w:trPr>
          <w:cantSplit w:val="true"/>
        </w:trPr>
        <w:tc>
          <w:tcPr>
            <w:tcW w:type="dxa" w:w="2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Aprovação</w:t>
            </w:r>
          </w:p>
        </w:tc>
        <w:tc>
          <w:tcPr>
            <w:tcW w:type="dxa" w:w="7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[preencher pela coordenação competente]</w:t>
            </w:r>
          </w:p>
        </w:tc>
      </w:tr>
      <w:tr>
        <w:trPr>
          <w:cantSplit w:val="true"/>
        </w:trPr>
        <w:tc>
          <w:tcPr>
            <w:tcW w:type="dxa" w:w="2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Periodicidade de revisão</w:t>
            </w:r>
          </w:p>
        </w:tc>
        <w:tc>
          <w:tcPr>
            <w:tcW w:type="dxa" w:w="7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Antes de cada oferta do curso e sempre que houver alteração normativa, de leiaute ou de fonte de dados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2. Objetivo e alcance</w:t>
      </w:r>
    </w:p>
    <w:p>
      <w:pPr>
        <w:keepNext w:val="0"/>
      </w:pPr>
      <w:r>
        <w:rPr>
          <w:rFonts w:ascii="Calibri" w:hAnsi="Calibri" w:eastAsia="Calibri"/>
          <w:i w:val="0"/>
        </w:rPr>
        <w:t>Padronizar a preparação, alimentação, revisão e arquivamento dos papéis de trabalho dos Módulos 3 e 4, garantindo rastreabilidade entre quesito, critério, procedimento, memória de cálculo, evidência e conclusão.</w:t>
      </w:r>
    </w:p>
    <w:p>
      <w:pPr>
        <w:keepNext w:val="0"/>
      </w:pPr>
      <w:r>
        <w:rPr>
          <w:rFonts w:ascii="Calibri" w:hAnsi="Calibri" w:eastAsia="Calibri"/>
          <w:i w:val="0"/>
        </w:rPr>
        <w:t>O POP aplica-se ao preenchimento das planilhas do curso, aos estudos de caso e às análises reais realizadas pelos contadores do CEAT. Não substitui o planejamento da auditoria, o julgamento profissional, a supervisão nem o contraditório.</w:t>
      </w:r>
    </w:p>
    <w:p>
      <w:pPr>
        <w:pStyle w:val="Heading1"/>
        <w:keepNext/>
      </w:pPr>
      <w:r>
        <w:t>3. Responsabilidades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200"/>
        <w:gridCol w:w="7160"/>
      </w:tblGrid>
      <w:tr>
        <w:trPr>
          <w:tblHeader w:val="true"/>
          <w:cantSplit w:val="true"/>
        </w:trPr>
        <w:tc>
          <w:tcPr>
            <w:tcW w:type="dxa" w:w="22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Papel</w:t>
            </w:r>
          </w:p>
        </w:tc>
        <w:tc>
          <w:tcPr>
            <w:tcW w:type="dxa" w:w="71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Responsabilidade mínima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Executor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Preservar os arquivos de origem; preencher somente os campos de entrada; executar e documentar testes; vincular evidências; registrar limitações.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Revisor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Refazer testes por amostragem; conferir fórmulas, fontes, aplicabilidade, materialidade e coerência entre evidência, achado e resposta.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Coordenação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Definir escopo, prazos e responsável; aprovar a conclusão; assegurar a guarda das versões e a atualização normativa.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Regra central: </w:t>
            </w:r>
            <w:r>
              <w:rPr>
                <w:rFonts w:ascii="Calibri" w:hAnsi="Calibri" w:eastAsia="Calibri"/>
                <w:color w:val="172B27"/>
              </w:rPr>
              <w:t>nenhuma conclusão deve depender apenas do painel, de fórmula automática ou de célula colorida. A conclusão precisa ser sustentada pelos autos e por evidência identificável.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4. Regras comuns de preparação</w:t>
      </w:r>
    </w:p>
    <w:p>
      <w:pPr>
        <w:pStyle w:val="Heading2"/>
        <w:keepNext/>
      </w:pPr>
      <w:r>
        <w:t>4.1 Criar a pasta do trabalho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Criar uma pasta exclusiva por município, exercício e objeto.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Usar a estrutura: 01_Originais; 02_Consultas; 03_Memorias; 04_Evidencias; 05_Papel_de_Trabalho; 06_Relatorio; 07_Revisao.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Salvar os arquivos baixados sem alteração na pasta 01_Originais e produzir qualquer tratamento em cópia.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Adotar o nome: M0X_Municipio_AAAA_TipoDocumento_Competencia_DataColeta.ext.</w:t>
      </w:r>
    </w:p>
    <w:p>
      <w:pPr>
        <w:pStyle w:val="Heading2"/>
        <w:keepNext/>
      </w:pPr>
      <w:r>
        <w:t>4.2 Abrir uma cópia controlada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Copiar o modelo do módulo para 05_Papel_de_Trabalho; nunca alimentar o arquivo-mestre.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Renomear a cópia com município, exercício, objeto e versão: v01, v02_revisao, v03_final.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Confirmar se as fórmulas estão ativas e se as abas, filtros e validações permanecem disponíveis.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Preencher apenas células de entrada. Não digitar sobre fórmulas, títulos, fontes normativas ou resultados automáticos.</w:t>
      </w:r>
    </w:p>
    <w:p>
      <w:pPr>
        <w:pStyle w:val="Heading2"/>
        <w:keepNext/>
      </w:pPr>
      <w:r>
        <w:t>4.3 Padrão de evidência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900"/>
        <w:gridCol w:w="3700"/>
        <w:gridCol w:w="3760"/>
      </w:tblGrid>
      <w:tr>
        <w:trPr>
          <w:tblHeader w:val="true"/>
          <w:cantSplit w:val="true"/>
        </w:trPr>
        <w:tc>
          <w:tcPr>
            <w:tcW w:type="dxa" w:w="19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Elemento</w:t>
            </w:r>
          </w:p>
        </w:tc>
        <w:tc>
          <w:tcPr>
            <w:tcW w:type="dxa" w:w="37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Como registrar</w:t>
            </w:r>
          </w:p>
        </w:tc>
        <w:tc>
          <w:tcPr>
            <w:tcW w:type="dxa" w:w="37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Exemplo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Documento</w:t>
            </w:r>
          </w:p>
        </w:tc>
        <w:tc>
          <w:tcPr>
            <w:tcW w:type="dxa" w:w="3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Nome exato do arquivo ou URL oficial</w:t>
            </w:r>
          </w:p>
        </w:tc>
        <w:tc>
          <w:tcPr>
            <w:tcW w:type="dxa" w:w="37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Contrato_045_2026.pdf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Localização</w:t>
            </w:r>
          </w:p>
        </w:tc>
        <w:tc>
          <w:tcPr>
            <w:tcW w:type="dxa" w:w="3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Página, item, linha, aba, célula ou registro</w:t>
            </w:r>
          </w:p>
        </w:tc>
        <w:tc>
          <w:tcPr>
            <w:tcW w:type="dxa" w:w="37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p. 18, cláusula 4ª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Competência</w:t>
            </w:r>
          </w:p>
        </w:tc>
        <w:tc>
          <w:tcPr>
            <w:tcW w:type="dxa" w:w="3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Exercício, mês, bimestre ou quadrimestre</w:t>
            </w:r>
          </w:p>
        </w:tc>
        <w:tc>
          <w:tcPr>
            <w:tcW w:type="dxa" w:w="37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2026 / 6º bimestre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Coleta</w:t>
            </w:r>
          </w:p>
        </w:tc>
        <w:tc>
          <w:tcPr>
            <w:tcW w:type="dxa" w:w="3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Data e responsável pela extração</w:t>
            </w:r>
          </w:p>
        </w:tc>
        <w:tc>
          <w:tcPr>
            <w:tcW w:type="dxa" w:w="37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16/08/2026 – iniciais do auditor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Vínculo</w:t>
            </w:r>
          </w:p>
        </w:tc>
        <w:tc>
          <w:tcPr>
            <w:tcW w:type="dxa" w:w="3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ID do quesito, requisito, transação ou achado</w:t>
            </w:r>
          </w:p>
        </w:tc>
        <w:tc>
          <w:tcPr>
            <w:tcW w:type="dxa" w:w="37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25-2.4 / A-03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Integridade</w:t>
            </w:r>
          </w:p>
        </w:tc>
        <w:tc>
          <w:tcPr>
            <w:tcW w:type="dxa" w:w="3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Original, cópia autenticada, consulta oficial ou arquivo tratado</w:t>
            </w:r>
          </w:p>
        </w:tc>
        <w:tc>
          <w:tcPr>
            <w:tcW w:type="dxa" w:w="37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CSV original do Siconfi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DECEC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Não aplicável não significa sem evidência: </w:t>
            </w:r>
            <w:r>
              <w:rPr>
                <w:rFonts w:ascii="Calibri" w:hAnsi="Calibri" w:eastAsia="Calibri"/>
                <w:color w:val="172B27"/>
              </w:rPr>
              <w:t>use “Não se aplica” somente quando a hipótese normativa não ocorreu e registre a justificativa. Ausência de documento deve ser classificada como limitação, item não testado ou não atendimento, conforme o caso.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5. Fluxo operacional comum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Definir o objeto: município, exercício, evento ou recurso, período, processos e quesitos.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Ler a aba de orientações e a matriz de quesitos antes de lançar valores.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Inventariar os documentos recebidos e as consultas externas realizadas.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Avaliar a integridade, a competência e a suficiência de cada evidência.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Executar os testes nas abas específicas, mantendo a mesma unidade, período e critério.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Vincular cada resultado ao documento e à localização exata da evidência.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Classificar o requisito e registrar limitação, materialidade e diligência necessária.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Estruturar os achados com critério, condição, causa, efeito/risco e evidência.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Responder aos quesitos apenas após concluir os testes e submeter o trabalho à revisão.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Salvar a versão final, bloquear alterações acidentais e arquivar a trilha de revisão.</w:t>
      </w:r>
    </w:p>
    <w:p>
      <w:pPr>
        <w:pStyle w:val="Heading2"/>
        <w:keepNext/>
      </w:pPr>
      <w:r>
        <w:t>5.1 Significado dos estados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00"/>
        <w:gridCol w:w="7060"/>
      </w:tblGrid>
      <w:tr>
        <w:trPr>
          <w:tblHeader w:val="true"/>
          <w:cantSplit w:val="true"/>
        </w:trPr>
        <w:tc>
          <w:tcPr>
            <w:tcW w:type="dxa" w:w="23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Estado</w:t>
            </w:r>
          </w:p>
        </w:tc>
        <w:tc>
          <w:tcPr>
            <w:tcW w:type="dxa" w:w="70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Uso correto</w:t>
            </w:r>
          </w:p>
        </w:tc>
      </w:tr>
      <w:tr>
        <w:trPr>
          <w:cantSplit w:val="true"/>
        </w:trPr>
        <w:tc>
          <w:tcPr>
            <w:tcW w:type="dxa" w:w="2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Atendido / comprovado</w:t>
            </w:r>
          </w:p>
        </w:tc>
        <w:tc>
          <w:tcPr>
            <w:tcW w:type="dxa" w:w="70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O requisito foi cumprido e existe evidência suficiente, pertinente e confiável.</w:t>
            </w:r>
          </w:p>
        </w:tc>
      </w:tr>
      <w:tr>
        <w:trPr>
          <w:cantSplit w:val="true"/>
        </w:trPr>
        <w:tc>
          <w:tcPr>
            <w:tcW w:type="dxa" w:w="2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Parcialmente atendido</w:t>
            </w:r>
          </w:p>
        </w:tc>
        <w:tc>
          <w:tcPr>
            <w:tcW w:type="dxa" w:w="70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O cumprimento é incompleto ou a evidência possui ressalva que não permite conclusão plena.</w:t>
            </w:r>
          </w:p>
        </w:tc>
      </w:tr>
      <w:tr>
        <w:trPr>
          <w:cantSplit w:val="true"/>
        </w:trPr>
        <w:tc>
          <w:tcPr>
            <w:tcW w:type="dxa" w:w="2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Não atendido</w:t>
            </w:r>
          </w:p>
        </w:tc>
        <w:tc>
          <w:tcPr>
            <w:tcW w:type="dxa" w:w="70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Há descumprimento demonstrado ou ausência de elemento obrigatório depois da diligência cabível.</w:t>
            </w:r>
          </w:p>
        </w:tc>
      </w:tr>
      <w:tr>
        <w:trPr>
          <w:cantSplit w:val="true"/>
        </w:trPr>
        <w:tc>
          <w:tcPr>
            <w:tcW w:type="dxa" w:w="2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Não se aplica</w:t>
            </w:r>
          </w:p>
        </w:tc>
        <w:tc>
          <w:tcPr>
            <w:tcW w:type="dxa" w:w="70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 hipótese normativa não ocorreu; a justificativa deve ser registrada.</w:t>
            </w:r>
          </w:p>
        </w:tc>
      </w:tr>
      <w:tr>
        <w:trPr>
          <w:cantSplit w:val="true"/>
        </w:trPr>
        <w:tc>
          <w:tcPr>
            <w:tcW w:type="dxa" w:w="2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Não testado / inconclusivo</w:t>
            </w:r>
          </w:p>
        </w:tc>
        <w:tc>
          <w:tcPr>
            <w:tcW w:type="dxa" w:w="70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O procedimento não foi concluído ou a limitação impede conclusão. Nunca contar como conformidade.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t>6. Módulo 3 – Festejos Juninos</w:t>
      </w:r>
    </w:p>
    <w:p>
      <w:pPr>
        <w:keepNext w:val="0"/>
      </w:pPr>
      <w:r>
        <w:rPr>
          <w:rFonts w:ascii="Calibri" w:hAnsi="Calibri" w:eastAsia="Calibri"/>
          <w:i w:val="0"/>
        </w:rPr>
        <w:t>Arquivo de referência: Papel_de_Trabalho_Modulo_3_Festejos_Juninos_Dotacao_Atualizada.xlsx. A planilha contém 58 verificações integradas, teste de preço, painel, caso didático, gabarito, fontes e três memórias encadeadas: despesas executadas, evolução mensal dos créditos e saldo na data da contratação.</w:t>
      </w:r>
    </w:p>
    <w:p>
      <w:pPr>
        <w:pStyle w:val="Heading2"/>
        <w:keepNext/>
      </w:pPr>
      <w:r>
        <w:t>6.1 Documentos de entrada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Processo administrativo completo: demanda, estudo técnico ou documento equivalente, termo de referência, pareceres, autorização, inexigibilidade/licitação, contrato e publicação.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Comprovação da consagração do artista e cadeia de exclusividade do empresário, quando aplicável.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Contratos e notas fiscais comparáveis, com segregação do cachê e dos custos acessórios.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LOA, QDD, PCMGE076, PCMGE065, PCMGE011 a PCMGE015, créditos adicionais, execução orçamentária e financeira, RREO e RGF pertinentes.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Extratos, empenhos, liquidações, pagamentos, estrutura do evento, exploração econômica, patrocínios e receitas associadas.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Painel Junino do MPBA, Consulta de Despesas do TCM-BA, tabela de natureza do exercício, PNCP, SIGA/e-TCM, portal de transparência municipal e demais consultas oficiais.</w:t>
      </w:r>
    </w:p>
    <w:p>
      <w:pPr>
        <w:pStyle w:val="Heading2"/>
        <w:keepNext/>
      </w:pPr>
      <w:r>
        <w:t>6.2 Sequência de alimentação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Ler 01_Orientacoes e registrar em nota externa o objeto, o período, os processos e a equipe.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Preencher 09_Despesas_Executadas, conciliando Painel, contratos, SIGA Empenho e PCMGE015; usar o empenho líquido como utilização e documentar toda inclusão do detalhamento 99.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Preencher 08_Creditos_Mensais, competência a competência e por chave completa, importando a utilização apurada na aba 09 e conciliando saldo inicial, alterações e saldo final.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Preencher 07_Dotacao para cada data de contratação e vincular o resultado a todo quesito que exija saldo, crédito, alteração ou empenho.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Preencher 03_Teste_Preco com os parâmetros do caso e com os contratos comparáveis válidos.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Definir a aplicabilidade e preencher as evidências de cada linha da aba 02_Checklist.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Conferir o painel 00_Painel e investigar todo alerta de preço, não atendimento ou item não testado.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Usar 04_Caso_Dados e 05_Caso_Resposta apenas para a atividade didática; em caso real, não copiar o gabarito.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Concluir o relatório com achados, limitações, diligências e resposta objetiva aos quesitos.</w:t>
      </w:r>
    </w:p>
    <w:p>
      <w:pPr>
        <w:pStyle w:val="Heading2"/>
        <w:keepNext/>
      </w:pPr>
      <w:r>
        <w:t>6.3 Disponibilidade mensal e saldo na data da contratação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Aplicação transversal: </w:t>
            </w:r>
            <w:r>
              <w:rPr>
                <w:rFonts w:ascii="Calibri" w:hAnsi="Calibri" w:eastAsia="Calibri"/>
                <w:color w:val="172B27"/>
              </w:rPr>
              <w:t>execute as abas 09, 08 e 07 nos itens 1, b.1, 3 e f.2 dos Quesitos – Festejos v4 e em qualquer requisito que mencione dotação, crédito adicional, suplementação, remanejamento, transposição, anulação, empenho prévio ou coerência entre orçamento e obrigações.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550"/>
        <w:gridCol w:w="4700"/>
        <w:gridCol w:w="3110"/>
      </w:tblGrid>
      <w:tr>
        <w:trPr>
          <w:tblHeader w:val="true"/>
          <w:cantSplit w:val="true"/>
        </w:trPr>
        <w:tc>
          <w:tcPr>
            <w:tcW w:type="dxa" w:w="155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Etapa</w:t>
            </w:r>
          </w:p>
        </w:tc>
        <w:tc>
          <w:tcPr>
            <w:tcW w:type="dxa" w:w="47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Procedimento</w:t>
            </w:r>
          </w:p>
        </w:tc>
        <w:tc>
          <w:tcPr>
            <w:tcW w:type="dxa" w:w="311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Fonte/evidência</w:t>
            </w:r>
          </w:p>
        </w:tc>
      </w:tr>
      <w:tr>
        <w:trPr>
          <w:cantSplit w:val="true"/>
        </w:trPr>
        <w:tc>
          <w:tcPr>
            <w:tcW w:type="dxa" w:w="15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1. Chave completa</w:t>
            </w:r>
          </w:p>
        </w:tc>
        <w:tc>
          <w:tcPr>
            <w:tcW w:type="dxa" w:w="4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Registrar órgão, unidade, função, subfunção, programa/ação, natureza/elemento, fonte/destinação e detalhamento.</w:t>
            </w:r>
          </w:p>
        </w:tc>
        <w:tc>
          <w:tcPr>
            <w:tcW w:type="dxa" w:w="31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Processo; SIGA; Portal; e-TCM PCMGE020/009; LOA PCMGE076.</w:t>
            </w:r>
          </w:p>
        </w:tc>
      </w:tr>
      <w:tr>
        <w:trPr>
          <w:cantSplit w:val="true"/>
        </w:trPr>
        <w:tc>
          <w:tcPr>
            <w:tcW w:type="dxa" w:w="15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2. Saldo inicial mensal</w:t>
            </w:r>
          </w:p>
        </w:tc>
        <w:tc>
          <w:tcPr>
            <w:tcW w:type="dxa" w:w="4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Em janeiro, usar a dotação inicial da LOA; nos demais meses, usar o saldo final conciliado da competência anterior.</w:t>
            </w:r>
          </w:p>
        </w:tc>
        <w:tc>
          <w:tcPr>
            <w:tcW w:type="dxa" w:w="31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PCMGE076 e PCMGE065, com competência e página/linha.</w:t>
            </w:r>
          </w:p>
        </w:tc>
      </w:tr>
      <w:tr>
        <w:trPr>
          <w:cantSplit w:val="true"/>
        </w:trPr>
        <w:tc>
          <w:tcPr>
            <w:tcW w:type="dxa" w:w="15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3. Alterações</w:t>
            </w:r>
          </w:p>
        </w:tc>
        <w:tc>
          <w:tcPr>
            <w:tcW w:type="dxa" w:w="4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Levantar créditos/reforços e reduções/anulações por mês, ato, data, fonte e eficácia.</w:t>
            </w:r>
          </w:p>
        </w:tc>
        <w:tc>
          <w:tcPr>
            <w:tcW w:type="dxa" w:w="31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SIGA – Execução Orçamentária; e-TCM PCMGE011 a PCMGE014.</w:t>
            </w:r>
          </w:p>
        </w:tc>
      </w:tr>
      <w:tr>
        <w:trPr>
          <w:cantSplit w:val="true"/>
        </w:trPr>
        <w:tc>
          <w:tcPr>
            <w:tcW w:type="dxa" w:w="15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4. Total de créditos</w:t>
            </w:r>
          </w:p>
        </w:tc>
        <w:tc>
          <w:tcPr>
            <w:tcW w:type="dxa" w:w="4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Calcular: saldo inicial + créditos/reforços – reduções/anulações.</w:t>
            </w:r>
          </w:p>
        </w:tc>
        <w:tc>
          <w:tcPr>
            <w:tcW w:type="dxa" w:w="31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Aba 08; memória automática e documentos dos atos.</w:t>
            </w:r>
          </w:p>
        </w:tc>
      </w:tr>
      <w:tr>
        <w:trPr>
          <w:cantSplit w:val="true"/>
        </w:trPr>
        <w:tc>
          <w:tcPr>
            <w:tcW w:type="dxa" w:w="15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5. Utilização</w:t>
            </w:r>
          </w:p>
        </w:tc>
        <w:tc>
          <w:tcPr>
            <w:tcW w:type="dxa" w:w="4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Importar da aba 09 o empenho líquido da mesma chave: empenhado menos anulações. Liquidação e pagamento não reduzem novamente o crédito.</w:t>
            </w:r>
          </w:p>
        </w:tc>
        <w:tc>
          <w:tcPr>
            <w:tcW w:type="dxa" w:w="31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SIGA Empenho e e-TCM PCMGE015 conciliados; aba 09.</w:t>
            </w:r>
          </w:p>
        </w:tc>
      </w:tr>
      <w:tr>
        <w:trPr>
          <w:cantSplit w:val="true"/>
        </w:trPr>
        <w:tc>
          <w:tcPr>
            <w:tcW w:type="dxa" w:w="15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6. Saldo final</w:t>
            </w:r>
          </w:p>
        </w:tc>
        <w:tc>
          <w:tcPr>
            <w:tcW w:type="dxa" w:w="4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Calcular: total de créditos – utilização do período; conciliar com o saldo inicial do mês seguinte.</w:t>
            </w:r>
          </w:p>
        </w:tc>
        <w:tc>
          <w:tcPr>
            <w:tcW w:type="dxa" w:w="31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Aba 08; diferença, causa, documento e diligência.</w:t>
            </w:r>
          </w:p>
        </w:tc>
      </w:tr>
      <w:tr>
        <w:trPr>
          <w:cantSplit w:val="true"/>
        </w:trPr>
        <w:tc>
          <w:tcPr>
            <w:tcW w:type="dxa" w:w="15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7. Data de corte</w:t>
            </w:r>
          </w:p>
        </w:tc>
        <w:tc>
          <w:tcPr>
            <w:tcW w:type="dxa" w:w="4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Na aba 07, partir do saldo M−1 e considerar somente alterações e empenhos até D−1; comparar com obrigações ainda não empenhadas.</w:t>
            </w:r>
          </w:p>
        </w:tc>
        <w:tc>
          <w:tcPr>
            <w:tcW w:type="dxa" w:w="31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PCMGE065; atos; empenhos; contrato; aba 07.</w:t>
            </w:r>
          </w:p>
        </w:tc>
      </w:tr>
    </w:tbl>
    <w:p>
      <w:pPr>
        <w:spacing w:after="0"/>
      </w:pP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Fórmula mensal: saldo inicial + reforços – reduções = créditos disponíveis; créditos disponíveis – utilização = saldo final.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Fórmula na data: saldo M−1 + reforços até D−1 – reduções até D−1 – empenhos até D−1 = saldo disponível; saldo disponível – obrigações não empenhadas = folga/insuficiência.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Ato posterior à contratação não comprova suficiência anterior. Ocorrência no mesmo dia exige prova da ordem temporal.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Resultado não negativo é apenas potencial: validar legalidade e eficácia do ato, classificação, fonte e empenho prévio.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Painel, contratos, SIGA e PCMGE015 são fontes a reconciliar. Não somar registros que representem a mesma despesa.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Crédito orçamentário e disponibilidade financeira são testes distintos; não usar saldo de caixa para substituir falta de dotação nem o inverso.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Reutilizar a mesma memória em todos os quesitos aplicáveis e registrar documento, página/linha, competência, data da coleta, executor e revisor.</w:t>
      </w:r>
    </w:p>
    <w:p>
      <w:pPr>
        <w:pStyle w:val="Heading2"/>
        <w:keepNext/>
      </w:pPr>
      <w:r>
        <w:t>6.4 Apuração das despesas executadas e conciliação Painel × TCM-BA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500"/>
        <w:gridCol w:w="4900"/>
        <w:gridCol w:w="2960"/>
      </w:tblGrid>
      <w:tr>
        <w:trPr>
          <w:tblHeader w:val="true"/>
          <w:cantSplit w:val="true"/>
        </w:trPr>
        <w:tc>
          <w:tcPr>
            <w:tcW w:type="dxa" w:w="15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Etapa</w:t>
            </w:r>
          </w:p>
        </w:tc>
        <w:tc>
          <w:tcPr>
            <w:tcW w:type="dxa" w:w="49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Procedimento operacional</w:t>
            </w:r>
          </w:p>
        </w:tc>
        <w:tc>
          <w:tcPr>
            <w:tcW w:type="dxa" w:w="29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Resultado a registrar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1. Fixar o recorte</w:t>
            </w:r>
          </w:p>
        </w:tc>
        <w:tc>
          <w:tcPr>
            <w:tcW w:type="dxa" w:w="4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Definir município, evento, exercício, data inicial/final e ações orçamentárias usadas nos festejos.</w:t>
            </w:r>
          </w:p>
        </w:tc>
        <w:tc>
          <w:tcPr>
            <w:tcW w:type="dxa" w:w="29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Termo de recorte com responsável, data e materialidade.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2. Coletar o Painel</w:t>
            </w:r>
          </w:p>
        </w:tc>
        <w:tc>
          <w:tcPr>
            <w:tcW w:type="dxa" w:w="4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Abrir o Transparentômetro; filtrar município/período; exportar ou copiar a tabela; preservar artista, contratado, CPF/CNPJ, contrato, data e valor.</w:t>
            </w:r>
          </w:p>
        </w:tc>
        <w:tc>
          <w:tcPr>
            <w:tcW w:type="dxa" w:w="29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Arquivo bruto, URL, filtros, data/hora e total declarado.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3. Consultar o TCM</w:t>
            </w:r>
          </w:p>
        </w:tc>
        <w:tc>
          <w:tcPr>
            <w:tcW w:type="dxa" w:w="4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Na Consulta de Despesas/SIGA, filtrar a mesma unidade e período, ação do evento e 3.3.90.39.94; exportar empenhos e anulações.</w:t>
            </w:r>
          </w:p>
        </w:tc>
        <w:tc>
          <w:tcPr>
            <w:tcW w:type="dxa" w:w="29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Base bruta do TCM e total do detalhamento 94.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4. Testar o 99</w:t>
            </w:r>
          </w:p>
        </w:tc>
        <w:tc>
          <w:tcPr>
            <w:tcW w:type="dxa" w:w="4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Se o Painel ou processo não estiver reproduzido, pesquisar 3.3.90.39.99 e incluir somente linhas ligadas por artista, fornecedor, CPF/CNPJ, contrato/processo ou objeto.</w:t>
            </w:r>
          </w:p>
        </w:tc>
        <w:tc>
          <w:tcPr>
            <w:tcW w:type="dxa" w:w="29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Justificativa individual da inclusão ou exclusão em 99.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5. Reconciliar PCMGE015</w:t>
            </w:r>
          </w:p>
        </w:tc>
        <w:tc>
          <w:tcPr>
            <w:tcW w:type="dxa" w:w="4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Obter o demonstrativo do mês; cruzar empenhado, anulado, liquidado e pago por empenho, credor, natureza, fonte e processo.</w:t>
            </w:r>
          </w:p>
        </w:tc>
        <w:tc>
          <w:tcPr>
            <w:tcW w:type="dxa" w:w="29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Diferença SIGA × PCMGE015 explicada; nunca somar as duas fontes.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6. Calcular utilização</w:t>
            </w:r>
          </w:p>
        </w:tc>
        <w:tc>
          <w:tcPr>
            <w:tcW w:type="dxa" w:w="4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Empenho líquido = empenhado − anulações. Totalizar por mês, contrato, artista, chave orçamentária e detalhamento.</w:t>
            </w:r>
          </w:p>
        </w:tc>
        <w:tc>
          <w:tcPr>
            <w:tcW w:type="dxa" w:w="29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Valor a transferir para a aba 08 e, conforme a data, para a aba 07.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7. Conciliar o Painel</w:t>
            </w:r>
          </w:p>
        </w:tc>
        <w:tc>
          <w:tcPr>
            <w:tcW w:type="dxa" w:w="4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Comparar total declarado, contratos e empenho líquido; listar Painel sem empenho, empenho sem Painel e divergências de valor.</w:t>
            </w:r>
          </w:p>
        </w:tc>
        <w:tc>
          <w:tcPr>
            <w:tcW w:type="dxa" w:w="29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Memória de conciliação, exceções, limitações e diligências.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8. Revisar</w:t>
            </w:r>
          </w:p>
        </w:tc>
        <w:tc>
          <w:tcPr>
            <w:tcW w:type="dxa" w:w="4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Abrir os processos e validar classificação, competência, objeto, duplicidade, liquidação, pagamento e favorecido.</w:t>
            </w:r>
          </w:p>
        </w:tc>
        <w:tc>
          <w:tcPr>
            <w:tcW w:type="dxa" w:w="29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Conclusão revisada, sem presunção de omissão ou dano.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Regra de prevenção de dupla contagem: </w:t>
            </w:r>
            <w:r>
              <w:rPr>
                <w:rFonts w:ascii="Calibri" w:hAnsi="Calibri" w:eastAsia="Calibri"/>
                <w:color w:val="172B27"/>
              </w:rPr>
              <w:t>contrato e Painel medem a obrigação/declarado; SIGA e PCMGE015 reproduzem a execução. Para consumir a dotação, use apenas o empenho líquido. Liquidação e pagamento demonstram o estágio da despesa, mas não são parcelas adicionais.</w:t>
            </w:r>
          </w:p>
        </w:tc>
      </w:tr>
    </w:tbl>
    <w:p>
      <w:pPr>
        <w:spacing w:after="0"/>
      </w:pP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No aplicativo, abra Conciliação Festejos, informe município e período e importe CSV/XLSX ou cole as duas tabelas com cabeçalhos.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Revise os cabeçalhos identificados, os vínculos automáticos e cada linha classificada no detalhamento 99.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Exporte a memória e as exceções; anexe-as ao papel de trabalho com os arquivos brutos e os filtros da coleta.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Se a fonte não trouxer data ou anulação, registre a limitação e obtenha o PCMGE015 ou o razão antes de concluir.</w:t>
      </w:r>
    </w:p>
    <w:p>
      <w:pPr>
        <w:pStyle w:val="Heading2"/>
        <w:keepNext/>
      </w:pPr>
      <w:r>
        <w:t>6.5 Preenchimento do teste de preço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b/>
        </w:rPr>
        <w:t>Parâmetros:</w:t>
      </w:r>
      <w:r>
        <w:rPr>
          <w:rFonts w:ascii="Calibri" w:hAnsi="Calibri" w:eastAsia="Calibri"/>
        </w:rPr>
        <w:t xml:space="preserve"> informar artista, município/UF, cachê proposto, custos acessórios, IPCA aplicável, limite de atenção e custos globais comparáveis.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b/>
        </w:rPr>
        <w:t>Contratos comparáveis:</w:t>
      </w:r>
      <w:r>
        <w:rPr>
          <w:rFonts w:ascii="Calibri" w:hAnsi="Calibri" w:eastAsia="Calibri"/>
        </w:rPr>
        <w:t xml:space="preserve"> lançar data, fonte, UF, comparabilidade do objeto, valor bruto, acessórios, cachê líquido, validade, motivo de exclusão e URL/documento.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b/>
        </w:rPr>
        <w:t>Segregação:</w:t>
      </w:r>
      <w:r>
        <w:rPr>
          <w:rFonts w:ascii="Calibri" w:hAnsi="Calibri" w:eastAsia="Calibri"/>
        </w:rPr>
        <w:t xml:space="preserve"> não comparar valor global com cachê líquido. Retirar transporte, hospedagem, produção e outros acessórios quando a documentação permitir.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b/>
        </w:rPr>
        <w:t>Validade:</w:t>
      </w:r>
      <w:r>
        <w:rPr>
          <w:rFonts w:ascii="Calibri" w:hAnsi="Calibri" w:eastAsia="Calibri"/>
        </w:rPr>
        <w:t xml:space="preserve"> marcar “Sim” somente após confirmar identidade do artista, período, praça, duração, composição do objeto e confiabilidade do documento.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b/>
        </w:rPr>
        <w:t>Índice:</w:t>
      </w:r>
      <w:r>
        <w:rPr>
          <w:rFonts w:ascii="Calibri" w:hAnsi="Calibri" w:eastAsia="Calibri"/>
        </w:rPr>
        <w:t xml:space="preserve"> usar o IPCA oficial da competência pertinente e guardar a memória; o percentual do case é didático.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  <w:b/>
        </w:rPr>
        <w:t>Resultado:</w:t>
      </w:r>
      <w:r>
        <w:rPr>
          <w:rFonts w:ascii="Calibri" w:hAnsi="Calibri" w:eastAsia="Calibri"/>
        </w:rPr>
        <w:t xml:space="preserve"> não sobrescrever as fórmulas de quantidade válida, média, referência atualizada, variação, custo público total, materialidade e conclusão assistida.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Controle mínimo: </w:t>
            </w:r>
            <w:r>
              <w:rPr>
                <w:rFonts w:ascii="Calibri" w:hAnsi="Calibri" w:eastAsia="Calibri"/>
                <w:color w:val="172B27"/>
              </w:rPr>
              <w:t>se houver menos de três contratos válidos, registrar “base insuficiente”, ampliar a pesquisa e documentar as tentativas. A média atualizada é parâmetro de comparabilidade, não autorização automática do preço.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6.6 Dicionário da aba 02_Checklist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700"/>
        <w:gridCol w:w="3300"/>
        <w:gridCol w:w="4360"/>
      </w:tblGrid>
      <w:tr>
        <w:trPr>
          <w:tblHeader w:val="true"/>
          <w:cantSplit w:val="true"/>
        </w:trPr>
        <w:tc>
          <w:tcPr>
            <w:tcW w:type="dxa" w:w="17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33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Preenchimento</w:t>
            </w:r>
          </w:p>
        </w:tc>
        <w:tc>
          <w:tcPr>
            <w:tcW w:type="dxa" w:w="43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Controle de qualidade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Aplicável?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Sim ou Não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Justificar todo “Não”; não usar para falta de documento.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Situação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Atendido; Parcialmente atendido; Não atendido; Não se aplica; Não testado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Deve ser coerente com a evidência e a limitação.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Documento/URL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Arquivo ou endereço oficial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Preferir o nome original e URL estável.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Pág./linha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Localização precisa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Evitar referências genéricas como “ver processo”.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Procedimento realizado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Ação, amostra, filtros, período e sistema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Descrever o que foi feito, não apenas o resultado.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Responsável/Data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Executor e data do teste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Permite rastrear execução e atualização.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Observação/limitação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Ausência, inconsistência, ressalva ou restrição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Quantificar o efeito quando possível.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Resultado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Gerado pela planilha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Não sobrescrever; revisar a lógica antes de concluir.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Severidade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Baixa, média ou alta, conforme impacto e contexto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Justificar materialidade qualitativa e quantitativa.</w:t>
            </w:r>
          </w:p>
        </w:tc>
      </w:tr>
      <w:tr>
        <w:trPr>
          <w:cantSplit w:val="true"/>
        </w:trPr>
        <w:tc>
          <w:tcPr>
            <w:tcW w:type="dxa" w:w="1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Fonte normativa</w:t>
            </w:r>
          </w:p>
        </w:tc>
        <w:tc>
          <w:tcPr>
            <w:tcW w:type="dxa" w:w="33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Campo de referência</w:t>
            </w:r>
          </w:p>
        </w:tc>
        <w:tc>
          <w:tcPr>
            <w:tcW w:type="dxa" w:w="4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Não alterar sem atualização formal do modelo.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6.7 Revisão e conclusão do Módulo 3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Reconciliar Painel, contratos, SIGA Empenho e PCMGE015; confirmar que o total de execução não foi duplicado.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Revisar cada inclusão do detalhamento 99 e conferir fornecedor, objeto e processo.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Reconciliar cada saldo final mensal com a abertura da competência seguinte e investigar qualquer diferença.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Recalcular ao menos uma competência da aba 08 e uma contratação da aba 07, conferindo a chave completa e a data de corte.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Recalcular ao menos uma contratação comparável e conferir a segregação dos acessórios.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Confirmar que todos os 58 requisitos têm aplicabilidade definida e situação compatível.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Abrir cada evidência selecionada e conferir documento, página, data e município.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Verificar se preço, processo de contratação, infraestrutura, saúde fiscal, emergência e transparência foram avaliados separadamente.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Diferenciar divergência, achado, limitação e diligência; não presumir dano ou responsabilidade pessoal.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Conferir o painel por último e registrar a conclusão do revisor fora das células automáticas.</w:t>
      </w:r>
    </w:p>
    <w:p>
      <w:r>
        <w:br w:type="page"/>
      </w:r>
    </w:p>
    <w:p>
      <w:pPr>
        <w:pStyle w:val="Heading1"/>
        <w:keepNext/>
      </w:pPr>
      <w:r>
        <w:t>7. Módulo 4 – FUNDEB</w:t>
      </w:r>
    </w:p>
    <w:p>
      <w:pPr>
        <w:keepNext w:val="0"/>
      </w:pPr>
      <w:r>
        <w:rPr>
          <w:rFonts w:ascii="Calibri" w:hAnsi="Calibri" w:eastAsia="Calibri"/>
          <w:i w:val="0"/>
        </w:rPr>
        <w:t>Arquivo de referência: Papeis_Trabalho_Modulo_4_FUNDEF_FUNDEB.xlsx. O preenchimento deve preservar a linha do tempo normativa, reconciliar sistemas e rastrear os recursos até o beneficiário ou objeto final.</w:t>
      </w:r>
    </w:p>
    <w:p>
      <w:pPr>
        <w:pStyle w:val="Heading2"/>
        <w:keepNext/>
      </w:pPr>
      <w:r>
        <w:t>7.1 Regra temporal para fontes de recursos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Linha de corte obrigatória: </w:t>
            </w:r>
            <w:r>
              <w:rPr>
                <w:rFonts w:ascii="Calibri" w:hAnsi="Calibri" w:eastAsia="Calibri"/>
                <w:color w:val="172B27"/>
              </w:rPr>
              <w:t>para exercícios até 2022, utilizar a codificação da Resolução TCM-BA nº 1.268/2008 consolidada; a partir de 2023, utilizar o padrão da Portaria STN nº 710/2021 e alterações aplicáveis. A escolha decorre do exercício do fato, nunca da data de extração.</w:t>
            </w:r>
          </w:p>
        </w:tc>
      </w:tr>
    </w:tbl>
    <w:p>
      <w:pPr>
        <w:spacing w:after="0"/>
      </w:pP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Guardar o código original, complemento, exercício, norma e versão da tabela utilizada.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Quando houver de-para, criar memória separada com código de origem, código de destino, regra e responsável.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Não converter códigos silenciosamente nem somar fontes incompatíveis.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Segregar recursos ordinários, FUNDEB, complementações da União, precatórios, rendimentos e demais vinculações.</w:t>
      </w:r>
    </w:p>
    <w:p>
      <w:pPr>
        <w:pStyle w:val="Heading2"/>
        <w:keepNext/>
      </w:pPr>
      <w:r>
        <w:t>7.2 Documentos de entrada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MSC mensal e de encerramento; RREO Anexo 8; RGF Anexo 5 quando pertinente; DCA e balancetes.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Razão contábil, empenhos, liquidações, pagamentos, folhas, extratos e conciliações das contas vinculadas.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Relatórios SIOPE, dados e-TCM/SIGA, leis locais, memórias de rateio e processos de precatórios.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MDF e mapeamentos vigentes em cada exercício; tabelas de fonte do TCM-BA/STN aplicáveis.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Relatórios ou memórias da GIPE e do Município, quando integrarem os autos.</w:t>
      </w:r>
    </w:p>
    <w:p>
      <w:r>
        <w:br w:type="page"/>
      </w:r>
    </w:p>
    <w:p>
      <w:pPr>
        <w:pStyle w:val="Heading2"/>
        <w:keepNext/>
      </w:pPr>
      <w:r>
        <w:t>7.3 Obtenção da MSC no Siconfi</w:t>
      </w:r>
    </w:p>
    <w:p>
      <w:pPr>
        <w:keepNext w:val="0"/>
      </w:pPr>
      <w:r>
        <w:rPr>
          <w:rFonts w:ascii="Calibri" w:hAnsi="Calibri" w:eastAsia="Calibri"/>
          <w:i w:val="0"/>
        </w:rPr>
        <w:t>Caminho validado em 16/08/2026. A nomenclatura visual pode mudar; registre a data da coleta e os filtros efetivamente usados.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Acessar https://siconfi.tesouro.gov.br/siconfi/index.jsf e permanecer na Área Pública.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Abrir Consultas &gt; Matrizes &gt; MSC.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Informar exercício, ente/município e período de referência. Para o fechamento anual, selecionar a opção de encerramento quando disponibilizada.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Selecionar a visão ou arquivo de matriz agregada, resolver o captcha e executar a consulta.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Baixar o arquivo CSV sem alterar delimitador, codificação ou cabeçalhos.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Salvar o original em 01_Originais e registrar no inventário: ente, exercício, período, tipo, data, URL e responsável.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Criar uma cópia para tratamento. Conferir quantidade de linhas, cabeçalhos, contas, fontes, naturezas, funções/subfunções e informações complementares.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Quando usar a rotina automática do aplicativo, guardar o arquivo importado e o relatório de processamento. Transferir para o papel de trabalho somente resultados reconciliados.</w:t>
      </w:r>
    </w:p>
    <w:p>
      <w:pPr>
        <w:pStyle w:val="Heading2"/>
        <w:keepNext/>
      </w:pPr>
      <w:r>
        <w:t>7.4 RREO, RGF, SIOPE e TCM-BA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500"/>
        <w:gridCol w:w="4660"/>
        <w:gridCol w:w="3200"/>
      </w:tblGrid>
      <w:tr>
        <w:trPr>
          <w:tblHeader w:val="true"/>
          <w:cantSplit w:val="true"/>
        </w:trPr>
        <w:tc>
          <w:tcPr>
            <w:tcW w:type="dxa" w:w="15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Fonte</w:t>
            </w:r>
          </w:p>
        </w:tc>
        <w:tc>
          <w:tcPr>
            <w:tcW w:type="dxa" w:w="46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Caminho operacional</w:t>
            </w:r>
          </w:p>
        </w:tc>
        <w:tc>
          <w:tcPr>
            <w:tcW w:type="dxa" w:w="32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Registro obrigatório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RREO/RGF</w:t>
            </w:r>
          </w:p>
        </w:tc>
        <w:tc>
          <w:tcPr>
            <w:tcW w:type="dxa" w:w="4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Siconfi &gt; Área Pública &gt; Consultas &gt; FINBRA &gt; RREO ou RGF; escolher ente, exercício e período; baixar a declaração homologada.</w:t>
            </w:r>
          </w:p>
        </w:tc>
        <w:tc>
          <w:tcPr>
            <w:tcW w:type="dxa" w:w="3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Relatório, anexo, período, versão e data da consulta.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MDF</w:t>
            </w:r>
          </w:p>
        </w:tc>
        <w:tc>
          <w:tcPr>
            <w:tcW w:type="dxa" w:w="4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Página do Manual de Demonstrativos Fiscais no Tesouro Nacional; abrir a edição do exercício e a aba de anexos/mapeamentos.</w:t>
            </w:r>
          </w:p>
        </w:tc>
        <w:tc>
          <w:tcPr>
            <w:tcW w:type="dxa" w:w="3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Edição, portaria, anexo e página/regra utilizada.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SIOPE</w:t>
            </w:r>
          </w:p>
        </w:tc>
        <w:tc>
          <w:tcPr>
            <w:tcW w:type="dxa" w:w="4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FNDE &gt; SIOPE &gt; Relatórios Municipais; selecionar UF, município, exercício e relatório.</w:t>
            </w:r>
          </w:p>
        </w:tc>
        <w:tc>
          <w:tcPr>
            <w:tcW w:type="dxa" w:w="3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Filtro, relatório, data e arquivo exportado.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e-TCM</w:t>
            </w:r>
          </w:p>
        </w:tc>
        <w:tc>
          <w:tcPr>
            <w:tcW w:type="dxa" w:w="4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Consulta Pública do e-TCM para processos e peças disponíveis.</w:t>
            </w:r>
          </w:p>
        </w:tc>
        <w:tc>
          <w:tcPr>
            <w:tcW w:type="dxa" w:w="3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Número do processo, peça, página e data.</w:t>
            </w:r>
          </w:p>
        </w:tc>
      </w:tr>
      <w:tr>
        <w:trPr>
          <w:cantSplit w:val="true"/>
        </w:trPr>
        <w:tc>
          <w:tcPr>
            <w:tcW w:type="dxa" w:w="1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SIGA/TCM</w:t>
            </w:r>
          </w:p>
        </w:tc>
        <w:tc>
          <w:tcPr>
            <w:tcW w:type="dxa" w:w="4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Módulo autorizado ou dados abertos do TCM-BA para execução, contratos, empenhos e pagamentos.</w:t>
            </w:r>
          </w:p>
        </w:tc>
        <w:tc>
          <w:tcPr>
            <w:tcW w:type="dxa" w:w="3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Unidade, competência, consulta, filtros e exportação.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Validação cruzada: </w:t>
            </w:r>
            <w:r>
              <w:rPr>
                <w:rFonts w:ascii="Calibri" w:hAnsi="Calibri" w:eastAsia="Calibri"/>
                <w:color w:val="172B27"/>
              </w:rPr>
              <w:t>o dado extraído da MSC ou de uma rotina automática não deve ser aceito isoladamente. Reconciliar com o demonstrativo fiscal, o razão, o SIOPE, o TCM-BA e a evidência bancária pertinente.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7.5 Ordem de preenchimento das abas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900"/>
        <w:gridCol w:w="3850"/>
        <w:gridCol w:w="3610"/>
      </w:tblGrid>
      <w:tr>
        <w:trPr>
          <w:tblHeader w:val="true"/>
          <w:cantSplit w:val="true"/>
        </w:trPr>
        <w:tc>
          <w:tcPr>
            <w:tcW w:type="dxa" w:w="19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Aba</w:t>
            </w:r>
          </w:p>
        </w:tc>
        <w:tc>
          <w:tcPr>
            <w:tcW w:type="dxa" w:w="385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O que alimentar</w:t>
            </w:r>
          </w:p>
        </w:tc>
        <w:tc>
          <w:tcPr>
            <w:tcW w:type="dxa" w:w="361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Critério de conclusão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00_Instrucoes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Ler regras, estados e salvaguardas.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Equipe compreende o fluxo e as limitações.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01_Matriz_Quesitos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Confirmar escopo, critério, evidência mínima e aba de suporte.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Todos os quesitos têm procedimento e fonte previstos.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02_Inventario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Uma linha por arquivo/peça: origem, competência, página, integridade e quesitos.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Nenhum cálculo usa documento não inventariado.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03_Base_60_70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Receitas, complementações, rendimentos, deduções, VAAR, remuneração, base GIPE e orçamento.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Numerador e denominador reconstruídos por exercício; 60% em 2019–2020 e 70% a partir de 2021 no recorte da planilha.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04_Consistencia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Mesma rubrica e período no RREO, contabilidade, SIOPE e e-TCM/SIGA.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Toda diferença está quantificada e explicada ou diligenciada.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05_MDE_25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Base de impostos, mínimo, despesa bruta, deduções e aplicação líquida.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Resultado reproduz o Anexo 8 conforme o MDF do exercício.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06_Precatorios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Principal, rendimentos, percentuais, pagamentos, outras MDE, não MDE, saldo e lei local.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Cada parcela possui conta, beneficiário, critério e evidência.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07_Despesas_MDE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Uma linha por transação, objeto, valor, fonte e enquadramento nos arts. 70/71 da LDB.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Classificação fundamentada pelo objeto real, não pelo nome do fornecedor.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08_Rastreamento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Saldo inicial, créditos, rendimentos, saques, pagamentos, saldo final, destino e evidência.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Equação bancária fecha; diferenças e transferências estão explicadas.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09_Emp_Liq_Pag</w:t>
            </w:r>
          </w:p>
        </w:tc>
        <w:tc>
          <w:tcPr>
            <w:tcW w:type="dxa" w:w="38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Empenho, liquidação, atesto, pagamento, conta, valores e datas.</w:t>
            </w:r>
          </w:p>
        </w:tc>
        <w:tc>
          <w:tcPr>
            <w:tcW w:type="dxa" w:w="36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Sequência e suporte testados por transação.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  <w:keepNext/>
      </w:pPr>
      <w:r>
        <w:t>7.6 Abas de conclusão e apoio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100"/>
        <w:gridCol w:w="3900"/>
        <w:gridCol w:w="3360"/>
      </w:tblGrid>
      <w:tr>
        <w:trPr>
          <w:tblHeader w:val="true"/>
          <w:cantSplit w:val="true"/>
        </w:trPr>
        <w:tc>
          <w:tcPr>
            <w:tcW w:type="dxa" w:w="21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Aba</w:t>
            </w:r>
          </w:p>
        </w:tc>
        <w:tc>
          <w:tcPr>
            <w:tcW w:type="dxa" w:w="39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Uso</w:t>
            </w:r>
          </w:p>
        </w:tc>
        <w:tc>
          <w:tcPr>
            <w:tcW w:type="dxa" w:w="33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Cuidado</w:t>
            </w:r>
          </w:p>
        </w:tc>
      </w:tr>
      <w:tr>
        <w:trPr>
          <w:cantSplit w:val="true"/>
        </w:trPr>
        <w:tc>
          <w:tcPr>
            <w:tcW w:type="dxa" w:w="21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10_Case_Ibipitanga</w:t>
            </w:r>
          </w:p>
        </w:tc>
        <w:tc>
          <w:tcPr>
            <w:tcW w:type="dxa" w:w="3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Atividade didática com dados do case.</w:t>
            </w:r>
          </w:p>
        </w:tc>
        <w:tc>
          <w:tcPr>
            <w:tcW w:type="dxa" w:w="3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Não transportar os valores para análise de outro município.</w:t>
            </w:r>
          </w:p>
        </w:tc>
      </w:tr>
      <w:tr>
        <w:trPr>
          <w:cantSplit w:val="true"/>
        </w:trPr>
        <w:tc>
          <w:tcPr>
            <w:tcW w:type="dxa" w:w="21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11_Respostas</w:t>
            </w:r>
          </w:p>
        </w:tc>
        <w:tc>
          <w:tcPr>
            <w:tcW w:type="dxa" w:w="3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Resultado vinculado, nível de evidência, resposta objetiva, limitação, diligência, revisor e status.</w:t>
            </w:r>
          </w:p>
        </w:tc>
        <w:tc>
          <w:tcPr>
            <w:tcW w:type="dxa" w:w="3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Preencher somente após os testes; evitar resposta sem memória vinculada.</w:t>
            </w:r>
          </w:p>
        </w:tc>
      </w:tr>
      <w:tr>
        <w:trPr>
          <w:cantSplit w:val="true"/>
        </w:trPr>
        <w:tc>
          <w:tcPr>
            <w:tcW w:type="dxa" w:w="21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12_Achados</w:t>
            </w:r>
          </w:p>
        </w:tc>
        <w:tc>
          <w:tcPr>
            <w:tcW w:type="dxa" w:w="3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Critério, condição, causa, efeito/risco, evidência, manifestação e conclusão revisada.</w:t>
            </w:r>
          </w:p>
        </w:tc>
        <w:tc>
          <w:tcPr>
            <w:tcW w:type="dxa" w:w="3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Divergência não equivale automaticamente a irregularidade.</w:t>
            </w:r>
          </w:p>
        </w:tc>
      </w:tr>
      <w:tr>
        <w:trPr>
          <w:cantSplit w:val="true"/>
        </w:trPr>
        <w:tc>
          <w:tcPr>
            <w:tcW w:type="dxa" w:w="21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13_Sintese</w:t>
            </w:r>
          </w:p>
        </w:tc>
        <w:tc>
          <w:tcPr>
            <w:tcW w:type="dxa" w:w="3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Completude e pendências do trabalho.</w:t>
            </w:r>
          </w:p>
        </w:tc>
        <w:tc>
          <w:tcPr>
            <w:tcW w:type="dxa" w:w="3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Alterar a revisão final somente após supervisão.</w:t>
            </w:r>
          </w:p>
        </w:tc>
      </w:tr>
      <w:tr>
        <w:trPr>
          <w:cantSplit w:val="true"/>
        </w:trPr>
        <w:tc>
          <w:tcPr>
            <w:tcW w:type="dxa" w:w="21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14_Praticas_Comparadas</w:t>
            </w:r>
          </w:p>
        </w:tc>
        <w:tc>
          <w:tcPr>
            <w:tcW w:type="dxa" w:w="3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Comparações oficiais de metodologia 60%/70%.</w:t>
            </w:r>
          </w:p>
        </w:tc>
        <w:tc>
          <w:tcPr>
            <w:tcW w:type="dxa" w:w="3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Usar mesma regra e exercício; prática observada não substitui lei ou MDF.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7.7 Controles específicos de cálculo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Não misturar principal de precatório, rendimentos, complementações e receitas ordinárias sem memória específica.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Conferir se percentuais são aplicados sobre a base legal correta e se exclusões estão documentadas.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No MDE de 25%, reproduzir base, deduções, aplicação líquida, percentual e insuficiência; não copiar somente o percentual publicado.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No rastreamento, aplicar: saldo inicial + créditos + rendimentos – transferências/saques – pagamentos – outros débitos = saldo esperado.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No ciclo da despesa, verificar datas, valores e documentos de empenho, liquidação, atesto e pagamento.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Toda divergência entre sistemas deve indicar rubrica, período, valor, causa provável, documento e diligência.</w:t>
      </w:r>
    </w:p>
    <w:p>
      <w:r>
        <w:br w:type="page"/>
      </w:r>
    </w:p>
    <w:p>
      <w:pPr>
        <w:pStyle w:val="Heading1"/>
        <w:keepNext/>
      </w:pPr>
      <w:r>
        <w:t>8. Revisão supervisora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Confirmar que o arquivo analisado é a última versão e que os originais foram preservados.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Refazer amostra de cálculos críticos e conferir se as células de fórmula não foram sobrescritas.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Abrir as evidências dos achados de maior severidade e conferir a localização indicada.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Avaliar se o status decorre do critério e da evidência, não de inferência sobre intenção ou responsabilidade.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Conferir o corte temporal das fontes no Módulo 4 e, no Módulo 3, o IPCA, os comparáveis, a evolução mensal dos créditos e o saldo na data de cada contratação.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Verificar se todas as limitações geraram diligência ou ressalva adequada.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Registrar revisão, data, pendências, respostas do executor e decisão final.</w:t>
      </w:r>
    </w:p>
    <w:p>
      <w:pPr>
        <w:pStyle w:val="Heading1"/>
        <w:keepNext/>
      </w:pPr>
      <w:r>
        <w:t>9. Encerramento e arquivamento</w:t>
      </w:r>
    </w:p>
    <w:p>
      <w:pPr>
        <w:numPr>
          <w:ilvl w:val="0"/>
          <w:numId w:val="14"/>
        </w:numPr>
      </w:pPr>
      <w:r>
        <w:rPr>
          <w:rFonts w:ascii="Calibri" w:hAnsi="Calibri" w:eastAsia="Calibri"/>
        </w:rPr>
        <w:t>Salvar a planilha final com status FINAL e gerar uma cópia em PDF das abas essenciais, quando necessário para o processo.</w:t>
      </w:r>
    </w:p>
    <w:p>
      <w:pPr>
        <w:numPr>
          <w:ilvl w:val="0"/>
          <w:numId w:val="14"/>
        </w:numPr>
      </w:pPr>
      <w:r>
        <w:rPr>
          <w:rFonts w:ascii="Calibri" w:hAnsi="Calibri" w:eastAsia="Calibri"/>
        </w:rPr>
        <w:t>Arquivar o relatório, o papel de trabalho, os originais, as evidências, as memórias, a manifestação e a revisão na mesma pasta do trabalho.</w:t>
      </w:r>
    </w:p>
    <w:p>
      <w:pPr>
        <w:numPr>
          <w:ilvl w:val="0"/>
          <w:numId w:val="14"/>
        </w:numPr>
      </w:pPr>
      <w:r>
        <w:rPr>
          <w:rFonts w:ascii="Calibri" w:hAnsi="Calibri" w:eastAsia="Calibri"/>
        </w:rPr>
        <w:t>Manter versões anteriores; não substituir silenciosamente arquivo revisado.</w:t>
      </w:r>
    </w:p>
    <w:p>
      <w:pPr>
        <w:numPr>
          <w:ilvl w:val="0"/>
          <w:numId w:val="14"/>
        </w:numPr>
      </w:pPr>
      <w:r>
        <w:rPr>
          <w:rFonts w:ascii="Calibri" w:hAnsi="Calibri" w:eastAsia="Calibri"/>
        </w:rPr>
        <w:t>Registrar no relatório as limitações de acesso, indisponibilidade de sistema e datas das consultas.</w:t>
      </w:r>
    </w:p>
    <w:p>
      <w:pPr>
        <w:numPr>
          <w:ilvl w:val="0"/>
          <w:numId w:val="14"/>
        </w:numPr>
      </w:pPr>
      <w:r>
        <w:rPr>
          <w:rFonts w:ascii="Calibri" w:hAnsi="Calibri" w:eastAsia="Calibri"/>
        </w:rPr>
        <w:t>Se houver atualização normativa ou correção de fórmula, abrir nova versão e documentar o impacto nos resultados anteriores.</w:t>
      </w:r>
    </w:p>
    <w:p>
      <w:pPr>
        <w:pStyle w:val="Heading1"/>
        <w:keepNext/>
      </w:pPr>
      <w:r>
        <w:t>10. Checklist de liberação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700"/>
        <w:gridCol w:w="5420"/>
        <w:gridCol w:w="3240"/>
      </w:tblGrid>
      <w:tr>
        <w:trPr>
          <w:tblHeader w:val="true"/>
          <w:cantSplit w:val="true"/>
        </w:trPr>
        <w:tc>
          <w:tcPr>
            <w:tcW w:type="dxa" w:w="7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OK</w:t>
            </w:r>
          </w:p>
        </w:tc>
        <w:tc>
          <w:tcPr>
            <w:tcW w:type="dxa" w:w="542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Verificação</w:t>
            </w:r>
          </w:p>
        </w:tc>
        <w:tc>
          <w:tcPr>
            <w:tcW w:type="dxa" w:w="324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Evidência da revisão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Objeto, município, exercício, período e responsáveis identificados.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Capa/registro do trabalho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Arquivos originais preservados e inventariados.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Pasta 01_Originais e inventário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Todos os quesitos e requisitos têm status coerente.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Matriz/checklist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Fórmulas críticas refeitas por amostragem.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Memória de revisão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Painel, contratos, SIGA e PCMGE015 conciliados sem dupla contagem.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Aba 09 e memória exportada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Inclusões no detalhamento 99 possuem vínculo documental individual.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Processo/objeto/fornecedor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Evidências possuem documento, localização, data e vínculo.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Colunas de evidência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Achados apresentam critério, condição, causa, efeito e evidência.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Matriz de achados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Limitações e diligências estão registradas.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Respostas/relatório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Revisor conferiu alertas e registrou conclusão independente.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Trilha de revisão</w:t>
            </w:r>
          </w:p>
        </w:tc>
      </w:tr>
      <w:tr>
        <w:trPr>
          <w:cantSplit w:val="true"/>
        </w:trPr>
        <w:tc>
          <w:tcPr>
            <w:tcW w:type="dxa" w:w="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☐</w:t>
            </w:r>
          </w:p>
        </w:tc>
        <w:tc>
          <w:tcPr>
            <w:tcW w:type="dxa" w:w="542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Versão final e fontes normativas foram arquivadas.</w:t>
            </w:r>
          </w:p>
        </w:tc>
        <w:tc>
          <w:tcPr>
            <w:tcW w:type="dxa" w:w="324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Pasta 07_Revisao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11. Fontes e referências operacionais</w:t>
      </w:r>
    </w:p>
    <w:p>
      <w:pPr>
        <w:keepNext w:val="0"/>
      </w:pPr>
      <w:r>
        <w:rPr>
          <w:rFonts w:ascii="Calibri" w:hAnsi="Calibri" w:eastAsia="Calibri"/>
          <w:i w:val="0"/>
        </w:rPr>
        <w:t>Fontes consultadas e rotas validadas em 16/08/2026: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Siconfi – Área Pública: https://siconfi.tesouro.gov.br/siconfi/index.jsf | MDF: https://www.gov.br/tesouronacional/pt-br/contabilidade-e-custos/manuais/manual-de-demonstrativos-fiscais-mdf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SIOPE: https://www.gov.br/fnde/pt-br/assuntos/sistemas/siope/relatorios-municipais | TCM-BA Dados Abertos: https://www.tcm.ba.gov.br/dados-abertos/ | e-TCM: https://e.tcm.ba.gov.br/epp/ConsultaPublica/listView.seam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Painel Junino MPBA: https://paineljunino.mpba.mp.br/transparentometro-municipios/ | Consulta de Despesas TCM-BA: https://www.tcm.ba.gov.br/controle-social/consulta-de-despesas/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Tabelas Internas de Contabilidade Municipal: https://www.tcm.ba.gov.br/tabelas-internas-contabilidade-municipal/ | SIGA/e-TCM PCMGE015: acesso institucional e prestação mensal do ente.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Resolução TCM-BA nº 1.268/2008 consolidada: https://www.tcm.ba.gov.br/wp-content/uploads/2015/05/resolucao_1268-08consolidada-24-05-2021.pdf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NT Conjunta nº 001/2025: https://www.mpba.mp.br/sites/default/files/nota_tecnica_conjunta_001-2025_festejos_juninos_0.pdf | NT nº 01/2026: https://www.tcm.ba.gov.br/wp-content/uploads/2026/04/nota_tecnica_conjunta_festejos_juninos_01_2026.pdf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Instrução TCM-BA nº 02/2005/01/2017: https://www.tcm.ba.gov.br/wp-content/uploads/2015/05/Instrucao-02-2005.CONTRATACAO-DE-BANDAS-_alterada-pela-Instrucao-TCM-nn-01-2017_-public.13.05.pdf | Quesitos – Festejos v4: arquivo interno, item 1.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Calibri" w:hAnsi="Calibri" w:eastAsia="Calibri"/>
        <w:color w:val="6B7280"/>
        <w:sz w:val="18"/>
      </w:rPr>
      <w:t xml:space="preserve">Página </w:t>
    </w:r>
    <w:r>
      <w:rPr>
        <w:rFonts w:ascii="Calibri" w:hAnsi="Calibri" w:eastAsia="Calibri"/>
        <w:color w:val="6B7280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6B7280"/>
        <w:sz w:val="17"/>
      </w:rPr>
      <w:t>POP | Papéis de Trabalho – Módulos 3 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14">
    <w:abstractNumId w:val="13"/>
  </w:num>
  <w:abstractNum w:abstractNumId="14">
    <w:multiLevelType w:val="singleLevel"/>
    <w:lvl w:ilvl="0">
      <w:start w:val="1"/>
      <w:numFmt w:val="bullet"/>
      <w:lvlText w:val="☐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B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B6B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B6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84C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