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40" w:after="320"/>
        <w:jc w:val="center"/>
      </w:pPr>
      <w:r>
        <w:rPr>
          <w:rFonts w:ascii="Calibri" w:hAnsi="Calibri" w:eastAsia="Calibri"/>
          <w:b/>
          <w:color w:val="D9A321"/>
          <w:sz w:val="22"/>
        </w:rPr>
        <w:t>PROCEDIMENTO OPERACIONAL PADRÃO</w:t>
      </w:r>
    </w:p>
    <w:p>
      <w:pPr>
        <w:spacing w:after="200"/>
        <w:jc w:val="center"/>
      </w:pPr>
      <w:r>
        <w:rPr>
          <w:rFonts w:ascii="Calibri" w:hAnsi="Calibri" w:eastAsia="Calibri"/>
          <w:b/>
          <w:color w:val="084C3A"/>
          <w:sz w:val="54"/>
        </w:rPr>
        <w:t>Resposta aos Quesitos de Festejos Municipais</w:t>
      </w:r>
    </w:p>
    <w:p>
      <w:pPr>
        <w:spacing w:after="560"/>
        <w:jc w:val="center"/>
      </w:pPr>
      <w:r>
        <w:rPr>
          <w:rFonts w:ascii="Calibri" w:hAnsi="Calibri" w:eastAsia="Calibri"/>
          <w:color w:val="0B6B4B"/>
          <w:sz w:val="28"/>
        </w:rPr>
        <w:t>Módulo 3 — Aspectos Contábeis: Festejos Juninos</w:t>
      </w:r>
    </w:p>
    <w:p>
      <w:pPr>
        <w:spacing w:before="1320" w:after="80"/>
        <w:jc w:val="center"/>
      </w:pPr>
      <w:r>
        <w:rPr>
          <w:rFonts w:ascii="Calibri" w:hAnsi="Calibri" w:eastAsia="Calibri"/>
          <w:b/>
          <w:color w:val="084C3A"/>
          <w:sz w:val="23"/>
        </w:rPr>
        <w:t>Curso de Formação MPBA | CEAT</w:t>
      </w:r>
    </w:p>
    <w:p>
      <w:pPr>
        <w:jc w:val="center"/>
      </w:pPr>
      <w:r>
        <w:rPr>
          <w:rFonts w:ascii="Century Gothic" w:hAnsi="Century Gothic"/>
          <w:sz w:val="20"/>
        </w:rPr>
        <w:t>Versão 2.1 · 17 de agosto de 2026 · aderente ao prompt mestre R9</w:t>
      </w:r>
    </w:p>
    <w:p>
      <w:r>
        <w:br w:type="page"/>
      </w:r>
    </w:p>
    <w:p>
      <w:pPr>
        <w:pStyle w:val="Heading1"/>
        <w:keepNext/>
      </w:pPr>
      <w:r>
        <w:t>Controle do documento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700"/>
        <w:gridCol w:w="6660"/>
      </w:tblGrid>
      <w:tr>
        <w:trPr>
          <w:tblHeader w:val="true"/>
          <w:cantSplit w:val="true"/>
        </w:trPr>
        <w:tc>
          <w:tcPr>
            <w:tcW w:type="dxa" w:w="27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Campo</w:t>
            </w:r>
          </w:p>
        </w:tc>
        <w:tc>
          <w:tcPr>
            <w:tcW w:type="dxa" w:w="66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Informação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Documento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POP CEAT — Resposta aos Quesitos de Festejos Municipais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Papel de trabalho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Papel_de_Trabalho_CEAT_Quesitos_Festejos_Municipais.xlsx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Arquivo de origem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Quesitos - Festejos v4 - apuração das despesas executadas(3).docx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Versão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2.0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Data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17/08/2026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Aplicação</w:t>
            </w:r>
          </w:p>
        </w:tc>
        <w:tc>
          <w:tcPr>
            <w:tcW w:type="dxa" w:w="66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Treinamento e execução de análises contábeis pela equipe CEAT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Finalidade e escopo</w:t>
      </w:r>
    </w:p>
    <w:p>
      <w:pPr>
        <w:keepNext w:val="0"/>
      </w:pPr>
      <w:r>
        <w:rPr>
          <w:rFonts w:ascii="Calibri" w:hAnsi="Calibri" w:eastAsia="Calibri"/>
          <w:i w:val="0"/>
        </w:rPr>
        <w:t>Este POP orienta o preenchimento do papel de trabalho e a elaboração de respostas específicas aos nove quesitos encaminhados pela equipe da CEAT. O procedimento cobre previsão e disponibilidade orçamentária, execução da despesa, disponibilidade de caixa, indicadores fiscais, priorização de políticas e síntese conclusiva.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DECEC"/>
            <w:tcBorders>
              <w:top w:val="single" w:sz="4" w:color="E7B5B1"/>
              <w:left w:val="single" w:sz="4" w:color="E7B5B1"/>
              <w:bottom w:val="single" w:sz="4" w:color="E7B5B1"/>
              <w:right w:val="single" w:sz="4" w:color="E7B5B1"/>
              <w:insideH w:val="single" w:sz="4" w:color="E7B5B1"/>
              <w:insideV w:val="single" w:sz="4" w:color="E7B5B1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Limite da conclusão: </w:t>
            </w:r>
            <w:r>
              <w:rPr>
                <w:rFonts w:ascii="Calibri" w:hAnsi="Calibri" w:eastAsia="Calibri"/>
                <w:color w:val="172B27"/>
              </w:rPr>
              <w:t>a opinião deve se restringir aos documentos contábeis e fiscais constantes dos autos. Ausência de evidência não equivale automaticamente à inexistência do fato; registre-a como limitação ou pendência de diligência.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2. Responsabilidades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100"/>
        <w:gridCol w:w="7260"/>
      </w:tblGrid>
      <w:tr>
        <w:trPr>
          <w:tblHeader w:val="true"/>
          <w:cantSplit w:val="true"/>
        </w:trPr>
        <w:tc>
          <w:tcPr>
            <w:tcW w:type="dxa" w:w="21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Papel</w:t>
            </w:r>
          </w:p>
        </w:tc>
        <w:tc>
          <w:tcPr>
            <w:tcW w:type="dxa" w:w="72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Responsabilidade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Analista/contador</w:t>
            </w:r>
          </w:p>
        </w:tc>
        <w:tc>
          <w:tcPr>
            <w:tcW w:type="dxa" w:w="72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Definir escopo, obter dados, preencher as abas, executar testes, quantificar diferenças e redigir a resposta.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Revisor</w:t>
            </w:r>
          </w:p>
        </w:tc>
        <w:tc>
          <w:tcPr>
            <w:tcW w:type="dxa" w:w="72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Recalcular fórmulas-chave, conferir evidências, validar o nexo entre achado e conclusão e aprovar ou devolver a resposta.</w:t>
            </w:r>
          </w:p>
        </w:tc>
      </w:tr>
      <w:tr>
        <w:trPr>
          <w:cantSplit w:val="true"/>
        </w:trPr>
        <w:tc>
          <w:tcPr>
            <w:tcW w:type="dxa" w:w="21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Coordenação</w:t>
            </w:r>
          </w:p>
        </w:tc>
        <w:tc>
          <w:tcPr>
            <w:tcW w:type="dxa" w:w="72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Resolver divergências metodológicas, definir materialidade e autorizar a emissão da síntese conclusiva.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3. Regras metodológicas obrigatórias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Uma linha por evidência, contrato, empenho, fonte ou indicador, conforme a aba.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Use o ID da evidência em toda conclusão; o arquivo original e o comprovante da consulta devem ser preservados.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O consumo da dotação é medido pelo empenho líquido: empenho bruto menos anulações.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Empenho, liquidação e pagamento são etapas da mesma despesa; nunca some os três valores para apurar gasto total.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Painel, Consulta TCM/SIGA, PCMGE056, PCMGE015 e Portal podem reproduzir a mesma despesa; concilie, não acumule.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O processo/contrato define o valor pactuado; o Painel identifica a declaração; a Consulta/SIGA traz transações; o PCMGE056 sustenta a população de pagamentos; o PCMGE015 é controle contábil por estágio e período.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Se a exportação contiver apenas uma coluna genérica 'valor', valide o leiaute e a fase antes de classificá-la como empenho, liquidação ou pagamento.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O detalhamento 3.3.90.39.94 é a referência principal. Use o detalhamento 99 apenas quando o processo, o credor, o objeto ou outro documento vincular a despesa ao evento.</w:t>
      </w:r>
    </w:p>
    <w:p>
      <w:pPr>
        <w:numPr>
          <w:ilvl w:val="0"/>
          <w:numId w:val="10"/>
        </w:numPr>
      </w:pPr>
      <w:r>
        <w:rPr>
          <w:rFonts w:ascii="Century Gothic" w:hAnsi="Century Gothic"/>
          <w:sz w:val="20"/>
        </w:rPr>
        <w:t>Na disponibilidade de caixa, aplique ao Ending_Balance da MSC as contas (a) a (i) do mapeamento do RGF Anexo 5. Preserve cada fonte e seu sinal; não some fases de despesa nem duplique obrigação já capturada em outro componente.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Variação de indicador fiscal é indício; somente afirme causalidade quando houver relação documental e temporal suficientemente demonstrada.</w:t>
      </w:r>
    </w:p>
    <w:p>
      <w:pPr>
        <w:pStyle w:val="Heading2"/>
      </w:pPr>
      <w:r>
        <w:rPr>
          <w:rFonts w:ascii="Century Gothic" w:hAnsi="Century Gothic"/>
          <w:sz w:val="26"/>
        </w:rPr>
        <w:t>3.1 Hierarquia das fontes e conciliação obrigatória</w:t>
      </w:r>
    </w:p>
    <w:p>
      <w:pPr>
        <w:pStyle w:val="ListBullet"/>
      </w:pPr>
      <w:r>
        <w:rPr>
          <w:rFonts w:ascii="Century Gothic" w:hAnsi="Century Gothic"/>
          <w:sz w:val="20"/>
        </w:rPr>
        <w:t>Nível 1 — processo, contrato/aditivos, empenho, liquidação/atesto, ordem de pagamento e banco: evidência primária.</w:t>
      </w:r>
    </w:p>
    <w:p>
      <w:pPr>
        <w:pStyle w:val="ListBullet"/>
      </w:pPr>
      <w:r>
        <w:rPr>
          <w:rFonts w:ascii="Century Gothic" w:hAnsi="Century Gothic"/>
          <w:sz w:val="20"/>
        </w:rPr>
        <w:t>Nível 2 — Painel Junino: população declarada e triangulação; não comprova execução isoladamente.</w:t>
      </w:r>
    </w:p>
    <w:p>
      <w:pPr>
        <w:pStyle w:val="ListBullet"/>
      </w:pPr>
      <w:r>
        <w:rPr>
          <w:rFonts w:ascii="Century Gothic" w:hAnsi="Century Gothic"/>
          <w:sz w:val="20"/>
        </w:rPr>
        <w:t>Nível 3 — Consulta de Despesas/SIGA: base transacional; provar a fase quando houver coluna genérica ‘valor’.</w:t>
      </w:r>
    </w:p>
    <w:p>
      <w:pPr>
        <w:pStyle w:val="ListBullet"/>
      </w:pPr>
      <w:r>
        <w:rPr>
          <w:rFonts w:ascii="Century Gothic" w:hAnsi="Century Gothic"/>
          <w:sz w:val="20"/>
        </w:rPr>
        <w:t>Nível 4 — PCMGE056: população analítica preferencial de pagamentos; conciliar empenho, credor, processo, fonte, data e beneficiário.</w:t>
      </w:r>
    </w:p>
    <w:p>
      <w:pPr>
        <w:pStyle w:val="ListBullet"/>
      </w:pPr>
      <w:r>
        <w:rPr>
          <w:rFonts w:ascii="Century Gothic" w:hAnsi="Century Gothic"/>
          <w:sz w:val="20"/>
        </w:rPr>
        <w:t>Nível 5 — PCMGE015: controle pelo mesmo estágio, competência, unidade/ação, fonte e detalhamento; nunca somar ao transacional.</w:t>
      </w:r>
    </w:p>
    <w:p>
      <w:pPr>
        <w:pStyle w:val="ListBullet"/>
      </w:pPr>
      <w:r>
        <w:rPr>
          <w:rFonts w:ascii="Century Gothic" w:hAnsi="Century Gothic"/>
          <w:sz w:val="20"/>
        </w:rPr>
        <w:t>Níveis 6 e 7 — Portal/PNCP e demonstrativos/MSC: corroborar, reconciliar e preservar divergências até saneamento.</w:t>
      </w:r>
    </w:p>
    <w:p>
      <w:pPr>
        <w:pStyle w:val="Heading1"/>
        <w:keepNext/>
      </w:pPr>
      <w:r>
        <w:t>4. Fluxo integrado do papel de trabalho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Abra a aba 01_Quesitos e confirme os nove objetos da análise.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Cadastre cada documento na aba 02_Evidencias e atribua um ID único.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Cadastre a população de contratos em 03_Contratacoes e a base transacional em 03A_Base_TCM.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Concilie cada contrato em 03B_Conciliacao, controle o mesmo estágio/período no PCMGE015 em 03C e registre divergências em 03D_Excecoes.</w:t>
      </w:r>
    </w:p>
    <w:p>
      <w:pPr>
        <w:numPr>
          <w:ilvl w:val="0"/>
          <w:numId w:val="12"/>
        </w:numPr>
      </w:pPr>
      <w:r>
        <w:rPr>
          <w:rFonts w:ascii="Century Gothic" w:hAnsi="Century Gothic"/>
          <w:sz w:val="20"/>
        </w:rPr>
        <w:t>Execute as memórias de dotação, ciclo da despesa, disponibilidade mensal de caixa por fonte, indicadores e prioridades nas abas 04 a 08.</w:t>
      </w:r>
    </w:p>
    <w:p>
      <w:pPr>
        <w:numPr>
          <w:ilvl w:val="0"/>
          <w:numId w:val="12"/>
        </w:numPr>
      </w:pPr>
      <w:r>
        <w:rPr>
          <w:rFonts w:ascii="Calibri" w:hAnsi="Calibri" w:eastAsia="Calibri"/>
        </w:rPr>
        <w:t>Revise a conclusão sugerida e preencha a resposta específica na aba 09_Matriz_Respostas.</w:t>
      </w:r>
    </w:p>
    <w:p>
      <w:pPr>
        <w:numPr>
          <w:ilvl w:val="0"/>
          <w:numId w:val="12"/>
        </w:numPr>
      </w:pPr>
      <w:r>
        <w:rPr>
          <w:rFonts w:ascii="Century Gothic" w:hAnsi="Century Gothic"/>
          <w:sz w:val="20"/>
        </w:rPr>
        <w:t>Transfira a redação aprovada para 10_Sintese, execute o checklist de qualidade e encerre a aba 12_Controle_Prompt.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050"/>
        <w:gridCol w:w="5410"/>
        <w:gridCol w:w="1900"/>
      </w:tblGrid>
      <w:tr>
        <w:trPr>
          <w:tblHeader w:val="true"/>
          <w:cantSplit w:val="true"/>
        </w:trPr>
        <w:tc>
          <w:tcPr>
            <w:tcW w:type="dxa" w:w="20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Aba</w:t>
            </w:r>
          </w:p>
        </w:tc>
        <w:tc>
          <w:tcPr>
            <w:tcW w:type="dxa" w:w="541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Função principal</w:t>
            </w:r>
          </w:p>
        </w:tc>
        <w:tc>
          <w:tcPr>
            <w:tcW w:type="dxa" w:w="1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Quesitos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02_Evidencias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Rastrear documento, competência, filtro, data e responsável.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Todos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03_Contratacoes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Formar população por fornecedor, ação, fonte, valor e financiamento.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Q01 a Q06; Q08;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03A_Base_TCM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Registrar transações e validar a fase da coluna valor.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Q02; Q05;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03B_Conciliacao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Comparar Painel, contrato, empenho líquido, liquidado e pago sem somar fases.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Q02; Q05;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03C_Controle_PCMGE015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Controlar o mesmo estágio, ação, fonte, detalhamento e período.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Q02; Q05;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03D_Excecoes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Documentar diferença, hipótese, diligência e conclusão revisada.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Todos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04_Dotacao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Reconstruir disponibilidade orçamentária na data da contratação.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Q01; Q06;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05_Execucao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Testar empenho, liquidação, pagamento, ordem e adiantamento.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Q02; Q05;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06_Caixa_Fontes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Apurar disponibilidade bruta/líquida e margem por fonte.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Q03; Q04;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07_Indicadores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Comparar resultado, caixa, restos a pagar e obrigações.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Q04; Q07;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08_Prioridades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Comparar festejos, estiagem e políticas essenciais.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Q08; Q09</w:t>
            </w:r>
          </w:p>
        </w:tc>
      </w:tr>
      <w:tr>
        <w:trPr>
          <w:cantSplit w:val="true"/>
        </w:trPr>
        <w:tc>
          <w:tcPr>
            <w:tcW w:type="dxa" w:w="20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09_Matriz_Respostas</w:t>
            </w:r>
          </w:p>
        </w:tc>
        <w:tc>
          <w:tcPr>
            <w:tcW w:type="dxa" w:w="54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Aprovar conclusão e redigir resposta por quesito.</w:t>
            </w:r>
          </w:p>
        </w:tc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Q01 a Q09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5. Acesso às fontes e coleta</w:t>
      </w:r>
    </w:p>
    <w:p>
      <w:pPr>
        <w:pStyle w:val="Heading2"/>
        <w:keepNext/>
      </w:pPr>
      <w:r>
        <w:t>5.1 e-TCM Consulta Pública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Acesse https://e.tcm.ba.gov.br/epp/ConsultaPublica/listView.seam.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Selecione município, exercício e competência correspondente ao teste.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Para contratos, consulte PCMGE009; para dispensas e inexigibilidades ratificadas, PCMGE020.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Para LOA, use a competência janeiro e PCMGE076; para saldo da despesa, use PCMGE065 na competência anterior à contratação.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Para alterações, consulte PCMGE011 a PCMGE014 nas competências abrangidas.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Para pagamentos, use o PCMGE056 como população analítica e vincule pagamento, empenho, credor, processo, data e fonte.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Use o PCMGE015 como controle por ação, fonte, elemento, detalhamento, estágio e período mensal/acumulado; não o some à base transacional.</w:t>
      </w:r>
    </w:p>
    <w:p>
      <w:pPr>
        <w:numPr>
          <w:ilvl w:val="0"/>
          <w:numId w:val="13"/>
        </w:numPr>
      </w:pPr>
      <w:r>
        <w:rPr>
          <w:rFonts w:ascii="Calibri" w:hAnsi="Calibri" w:eastAsia="Calibri"/>
        </w:rPr>
        <w:t>Baixe o arquivo, preserve a versão original e registre filtros e data na aba 02_Evidencias.</w:t>
      </w:r>
    </w:p>
    <w:p>
      <w:pPr>
        <w:pStyle w:val="Heading2"/>
        <w:keepNext/>
      </w:pPr>
      <w:r>
        <w:t>5.2 SIGA Analisador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Contrato: Consultas &gt; Por Unidade &gt; Licitações, Contratos e Convênios &gt; Contrato Despesa.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Alterações: Consultas &gt; Por Unidade &gt; Execução Orçamentária; filtre ação, fonte e período.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Empenhos: Consultas &gt; Por Unidade &gt; Empenho; filtre ação do evento e 3.3.90.39.94.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Quando o total for inferior à população de contratos, examine 3.3.90.39.99 e outras classificações apenas mediante vínculo comprovado.</w:t>
      </w:r>
    </w:p>
    <w:p>
      <w:pPr>
        <w:pStyle w:val="Heading2"/>
        <w:keepNext/>
      </w:pPr>
      <w:r>
        <w:t>5.3 SICONFI — Matriz de Saldos Contábeis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Acesse https://siconfi.tesouro.gov.br/siconfi/index.jsf e entre na área pública.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Abra a consulta de Matrizes de Saldos Contábeis.</w:t>
      </w:r>
    </w:p>
    <w:p>
      <w:pPr>
        <w:numPr>
          <w:ilvl w:val="0"/>
          <w:numId w:val="14"/>
        </w:numPr>
      </w:pPr>
      <w:r>
        <w:rPr>
          <w:rFonts w:ascii="Calibri" w:hAnsi="Calibri" w:eastAsia="Calibri"/>
        </w:rPr>
        <w:t>Informe ente/município, exercício, período de referência e tipo de matriz.</w:t>
      </w:r>
    </w:p>
    <w:p>
      <w:pPr>
        <w:numPr>
          <w:ilvl w:val="0"/>
          <w:numId w:val="14"/>
        </w:numPr>
      </w:pPr>
      <w:r>
        <w:rPr>
          <w:rFonts w:ascii="Century Gothic" w:hAnsi="Century Gothic"/>
          <w:sz w:val="20"/>
        </w:rPr>
        <w:t>Baixe a matriz agregada de cada competência mensal relevante. Para competências 01 a 11, rotule o resultado como estimativa gerencial mensal; para o mês 12/período 13, rotule como fechamento e concilie com o RGF Anexo 5.</w:t>
      </w:r>
    </w:p>
    <w:p>
      <w:pPr>
        <w:numPr>
          <w:ilvl w:val="0"/>
          <w:numId w:val="14"/>
        </w:numPr>
      </w:pPr>
      <w:r>
        <w:rPr>
          <w:rFonts w:ascii="Century Gothic" w:hAnsi="Century Gothic"/>
          <w:sz w:val="20"/>
        </w:rPr>
        <w:t>Preserve conta contábil, informação complementar, Poder/Órgão, tipo de valor e fonte/destinação. Filtre Poder Executivo/PO iniciado por 10, use Ending_Balance e não compense fontes positivas e negativas.</w:t>
      </w:r>
    </w:p>
    <w:p>
      <w:pPr>
        <w:numPr>
          <w:ilvl w:val="0"/>
          <w:numId w:val="14"/>
        </w:numPr>
      </w:pPr>
      <w:r>
        <w:rPr>
          <w:rFonts w:ascii="Century Gothic" w:hAnsi="Century Gothic"/>
          <w:sz w:val="20"/>
        </w:rPr>
        <w:t>Aplique o mapeamento fornecido do Anexo 5 do RGF, registre (a) a (i) por fonte na aba 06_Caixa_Fontes e documente a diferença entre a série mensal gerencial e o fechamento oficial.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Controle de período: </w:t>
            </w:r>
            <w:r>
              <w:rPr>
                <w:rFonts w:ascii="Calibri" w:hAnsi="Calibri" w:eastAsia="Calibri"/>
                <w:color w:val="172B27"/>
              </w:rPr>
              <w:t>use sempre o mês imediatamente anterior à contratação para testar a capacidade existente antes da assunção da obrigação, salvo quando o quesito ou os autos exigirem outra data-base.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5.4 Case de validação — Jequié/BA 2026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650"/>
        <w:gridCol w:w="2250"/>
        <w:gridCol w:w="2250"/>
        <w:gridCol w:w="2210"/>
      </w:tblGrid>
      <w:tr>
        <w:trPr>
          <w:tblHeader w:val="true"/>
          <w:cantSplit w:val="true"/>
        </w:trPr>
        <w:tc>
          <w:tcPr>
            <w:tcW w:type="dxa" w:w="26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Recorte</w:t>
            </w:r>
          </w:p>
        </w:tc>
        <w:tc>
          <w:tcPr>
            <w:tcW w:type="dxa" w:w="22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Consulta TCM</w:t>
            </w:r>
          </w:p>
        </w:tc>
        <w:tc>
          <w:tcPr>
            <w:tcW w:type="dxa" w:w="225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PCMGE015</w:t>
            </w:r>
          </w:p>
        </w:tc>
        <w:tc>
          <w:tcPr>
            <w:tcW w:type="dxa" w:w="221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Diferença preliminar</w:t>
            </w:r>
          </w:p>
        </w:tc>
      </w:tr>
      <w:tr>
        <w:trPr>
          <w:cantSplit w:val="true"/>
        </w:trPr>
        <w:tc>
          <w:tcPr>
            <w:tcW w:type="dxa" w:w="26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3.3.90.39.94 até junho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R$ 4.040.000,00 · 31 registros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R$ 5.327.000,00</w:t>
            </w:r>
          </w:p>
        </w:tc>
        <w:tc>
          <w:tcPr>
            <w:tcW w:type="dxa" w:w="22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R$ 1.287.000,00</w:t>
            </w:r>
          </w:p>
        </w:tc>
      </w:tr>
      <w:tr>
        <w:trPr>
          <w:cantSplit w:val="true"/>
        </w:trPr>
        <w:tc>
          <w:tcPr>
            <w:tcW w:type="dxa" w:w="26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3.3.90.39.94 somente junho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R$ 3.719.000,00 · 26 registros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R$ 4.357.000,00</w:t>
            </w:r>
          </w:p>
        </w:tc>
        <w:tc>
          <w:tcPr>
            <w:tcW w:type="dxa" w:w="22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R$ 638.000,00</w:t>
            </w:r>
          </w:p>
        </w:tc>
      </w:tr>
      <w:tr>
        <w:trPr>
          <w:cantSplit w:val="true"/>
        </w:trPr>
        <w:tc>
          <w:tcPr>
            <w:tcW w:type="dxa" w:w="26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3.3.90.39.99 até junho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R$ 52.426.676,73 · Município inteiro</w:t>
            </w:r>
          </w:p>
        </w:tc>
        <w:tc>
          <w:tcPr>
            <w:tcW w:type="dxa" w:w="225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R$ 3.172.067,88 · ação do evento</w:t>
            </w:r>
          </w:p>
        </w:tc>
        <w:tc>
          <w:tcPr>
            <w:tcW w:type="dxa" w:w="221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  <w:jc w:val="center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Bases não equivalentes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Leitura correta: </w:t>
            </w:r>
            <w:r>
              <w:rPr>
                <w:rFonts w:ascii="Calibri" w:hAnsi="Calibri" w:eastAsia="Calibri"/>
                <w:color w:val="172B27"/>
              </w:rPr>
              <w:t>as diferenças validam a necessidade de conciliar estágio, data de corte, ação, fonte, anulações e retificações. Não constituem, isoladamente, irregularidade ou dano. O detalhamento 99 só integra a população com vínculo por contrato, processo, CPF/CNPJ, credor, objeto ou ação.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Century Gothic" w:hAnsi="Century Gothic"/>
          <w:sz w:val="26"/>
        </w:rPr>
        <w:t>5.5 Controle de aderência ao prompt</w:t>
      </w:r>
    </w:p>
    <w:p>
      <w:pPr/>
      <w:r>
        <w:rPr>
          <w:rFonts w:ascii="Century Gothic" w:hAnsi="Century Gothic"/>
          <w:sz w:val="20"/>
        </w:rPr>
        <w:t>Antes de iniciar os quesitos, registre na aba 12_Controle_Prompt o responsável e o status de cada saída A–K e validação 1–8. A emissão exige evidência para: recorte; população; conciliação; 94/99; PCMGE015; PCMGE056/banco; dotação; caixa mensal; exceções; respostas individualizadas; síntese.</w:t>
      </w:r>
    </w:p>
    <w:p>
      <w:pPr/>
      <w:r>
        <w:rPr>
          <w:rFonts w:ascii="Century Gothic" w:hAnsi="Century Gothic"/>
          <w:sz w:val="20"/>
        </w:rPr>
        <w:t>Valide ainda: fases não somadas; empenho líquido; pagamento não duplicado; semântica de ‘valor’; vínculos automáticos revisados; hierarquia das fontes; distinção mensal/fechamento; contas especiais da coluna (e).</w:t>
      </w:r>
    </w:p>
    <w:p>
      <w:pPr>
        <w:pStyle w:val="Heading1"/>
        <w:keepNext/>
        <w:pageBreakBefore w:val="0"/>
      </w:pPr>
      <w:r>
        <w:t>Q01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Os gastos com festejos juninos possuem previsão adequada na Lei Orçamentária Anual, seja por dotação específica ou crédito adicional que os abrange?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03_Contratacoes e 04_Dotacao.</w:t>
      </w:r>
    </w:p>
    <w:p>
      <w:pPr>
        <w:pStyle w:val="Heading2"/>
        <w:keepNext/>
      </w:pPr>
      <w:r>
        <w:t>Objetivo</w:t>
      </w:r>
    </w:p>
    <w:p>
      <w:pPr>
        <w:keepNext w:val="0"/>
      </w:pPr>
      <w:r>
        <w:rPr>
          <w:rFonts w:ascii="Calibri" w:hAnsi="Calibri" w:eastAsia="Calibri"/>
          <w:i w:val="0"/>
        </w:rPr>
        <w:t>Demonstrar se a ação, a natureza e a fonte utilizadas abrangem o evento e se havia saldo suficiente na data da contratação.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Identifique ação, dotação e fonte no processo, SIGA, Portal da Transparência, PCMGE009 ou PCMGE020.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Se a informação não estiver no processo, baixe a LOA no PCMGE076 e pesquise função, subfunção e ação ligadas a cultura e festividades.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Cadastre cada contrato na aba 03_Contratacoes, inclusive data, ação, elemento, detalhamento, fonte e valor.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Na aba 04_Dotacao, informe crédito inicial da LOA e saldo inicial do período constante do PCMGE065 do mês anterior.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Levante acréscimos e reduções ocorridos até o dia anterior à contratação, usando SIGA ou PCMGE011 a PCMGE014.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Confirme o empenho líquido anterior na mesma ação e fonte; a fórmula busca a aba 05_Execucao.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Confirme as novas contratações na data; a fórmula busca a aba 03_Contratacoes.</w:t>
      </w:r>
    </w:p>
    <w:p>
      <w:pPr>
        <w:numPr>
          <w:ilvl w:val="0"/>
          <w:numId w:val="15"/>
        </w:numPr>
      </w:pPr>
      <w:r>
        <w:rPr>
          <w:rFonts w:ascii="Calibri" w:hAnsi="Calibri" w:eastAsia="Calibri"/>
        </w:rPr>
        <w:t>Vincule evidências da LOA, do saldo e das alterações e revise o status calculado.</w:t>
      </w:r>
    </w:p>
    <w:p>
      <w:pPr>
        <w:pStyle w:val="Heading2"/>
        <w:keepNext/>
      </w:pPr>
      <w:r>
        <w:t>Memória de cálculo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3000"/>
        <w:gridCol w:w="6360"/>
      </w:tblGrid>
      <w:tr>
        <w:trPr>
          <w:tblHeader w:val="true"/>
          <w:cantSplit w:val="true"/>
        </w:trPr>
        <w:tc>
          <w:tcPr>
            <w:tcW w:type="dxa" w:w="30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Etapa</w:t>
            </w:r>
          </w:p>
        </w:tc>
        <w:tc>
          <w:tcPr>
            <w:tcW w:type="dxa" w:w="63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Fórmula</w:t>
            </w:r>
          </w:p>
        </w:tc>
      </w:tr>
      <w:tr>
        <w:trPr>
          <w:cantSplit w:val="true"/>
        </w:trPr>
        <w:tc>
          <w:tcPr>
            <w:tcW w:type="dxa" w:w="3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Créditos do período</w:t>
            </w:r>
          </w:p>
        </w:tc>
        <w:tc>
          <w:tcPr>
            <w:tcW w:type="dxa" w:w="6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Saldo inicial do período + acréscimos até D-1 - reduções até D-1</w:t>
            </w:r>
          </w:p>
        </w:tc>
      </w:tr>
      <w:tr>
        <w:trPr>
          <w:cantSplit w:val="true"/>
        </w:trPr>
        <w:tc>
          <w:tcPr>
            <w:tcW w:type="dxa" w:w="3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Disponibilidade antes</w:t>
            </w:r>
          </w:p>
        </w:tc>
        <w:tc>
          <w:tcPr>
            <w:tcW w:type="dxa" w:w="6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Créditos do período - empenho líquido anterior</w:t>
            </w:r>
          </w:p>
        </w:tc>
      </w:tr>
      <w:tr>
        <w:trPr>
          <w:cantSplit w:val="true"/>
        </w:trPr>
        <w:tc>
          <w:tcPr>
            <w:tcW w:type="dxa" w:w="30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Margem após contratação</w:t>
            </w:r>
          </w:p>
        </w:tc>
        <w:tc>
          <w:tcPr>
            <w:tcW w:type="dxa" w:w="63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Disponibilidade antes - novas contratações na data</w:t>
            </w:r>
          </w:p>
        </w:tc>
      </w:tr>
    </w:tbl>
    <w:p>
      <w:pPr>
        <w:spacing w:after="0"/>
      </w:pPr>
    </w:p>
    <w:p>
      <w:pPr>
        <w:pStyle w:val="Heading2"/>
        <w:keepNext/>
      </w:pPr>
      <w:r>
        <w:t>Critério de conclusão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Conforme: ação compatível, evidência documental completa e margem igual ou superior a zero.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Com ressalvas: margem não negativa, mas alterações ou classificação não estão integralmente comprovadas.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Não conforme: margem negativa ou ausência de autorização orçamentária válida.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Não concluído: faltam data, ação, fonte, LOA ou saldo oficial.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Na ação [código/descrição], fonte [código], os créditos disponíveis em [data] totalizavam R$ [valor], após acréscimos de R$ [valor] e reduções de R$ [valor]. O empenho líquido anterior era R$ [valor] e as novas contratações somavam R$ [valor], resultando em margem de R$ [valor]. Assim, a previsão e a suficiência foram consideradas [conforme/com ressalvas/não conforme], pelas evidências [IDs].</w:t>
            </w:r>
          </w:p>
        </w:tc>
      </w:tr>
    </w:tbl>
    <w:p>
      <w:pPr>
        <w:pStyle w:val="Heading1"/>
        <w:keepNext/>
        <w:pageBreakBefore/>
      </w:pPr>
      <w:r>
        <w:t>Q02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Há regularidade na execução orçamentária e financeira dos gastos realizados com os festejos juninos?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05_Execucao.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Forme a população de contratos, registre transações em 03A e confira pagamentos no PCMGE056; use o PCMGE015 apenas como controle do mesmo estágio/período.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Se houver apenas a coluna 'valor', não presuma a fase: documente leiaute, filtros e confronto antes de preencher empenho, liquidado ou pago.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Teste se o empenho ocorreu na data da contratação ou antes da assunção da obrigação.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Calcule empenho líquido como empenho bruto menos anulações.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Na liquidação, confira nota fiscal, atesto, prova da apresentação, valor e credor; limite o liquidado ao empenho líquido válido.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No pagamento, confira ordem de pagamento, conta bancária, valor, data e beneficiário; limite o pago ao valor liquidado.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Verifique a ordem cronológica dentro da mesma fonte e categoria, registrando a fila, eventuais quebras e justificativas.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Se houver pagamento antecipado, examine previsão contratual, motivação, salvaguardas e registro como adiantamento até a comprovação da apresentação.</w:t>
      </w:r>
    </w:p>
    <w:p>
      <w:pPr>
        <w:numPr>
          <w:ilvl w:val="0"/>
          <w:numId w:val="16"/>
        </w:numPr>
      </w:pPr>
      <w:r>
        <w:rPr>
          <w:rFonts w:ascii="Calibri" w:hAnsi="Calibri" w:eastAsia="Calibri"/>
        </w:rPr>
        <w:t>Revise os testes automáticos nas colunas Y a AB e registre a evidência de cada etapa.</w:t>
      </w:r>
    </w:p>
    <w:p>
      <w:pPr>
        <w:pStyle w:val="Heading2"/>
        <w:keepNext/>
      </w:pPr>
      <w:r>
        <w:t>Critérios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200"/>
        <w:gridCol w:w="7160"/>
      </w:tblGrid>
      <w:tr>
        <w:trPr>
          <w:tblHeader w:val="true"/>
          <w:cantSplit w:val="true"/>
        </w:trPr>
        <w:tc>
          <w:tcPr>
            <w:tcW w:type="dxa" w:w="22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Teste</w:t>
            </w:r>
          </w:p>
        </w:tc>
        <w:tc>
          <w:tcPr>
            <w:tcW w:type="dxa" w:w="71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Condição mínima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Empenho prévio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Data do empenho menor ou igual à data da contratação/assunção da obrigação.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Liquidação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Valor não superior ao empenho líquido e existência de prova material do direito do credor.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Pagamento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Valor não superior ao liquidado, beneficiário correto e ordem cronológica verificada.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Adiantamento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Previsão, motivação, salvaguarda e tratamento contábil adequado até a liquidação regular.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Foram testados [n] empenhos, no total líquido de R$ [valor]. [n] atenderam ao empenho prévio; [n] apresentaram liquidação sustentada por nota fiscal, atesto e prova da apresentação; e [n] pagamentos observaram valor liquidado e ordem cronológica. As exceções constam nos IDs [evidências], com efeito de R$ [valor].</w:t>
            </w:r>
          </w:p>
        </w:tc>
      </w:tr>
    </w:tbl>
    <w:p>
      <w:pPr>
        <w:pStyle w:val="Heading1"/>
        <w:keepNext/>
        <w:pageBreakBefore/>
      </w:pPr>
      <w:r>
        <w:t>Q03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O montante de gastos dispendido está compatível com a capacidade financeira do Município, considerando o decreto de emergência, à época, vigente?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03_Contratacoes e 06_Caixa_Fontes.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17"/>
        </w:numPr>
      </w:pPr>
      <w:r>
        <w:rPr>
          <w:rFonts w:ascii="Calibri" w:hAnsi="Calibri" w:eastAsia="Calibri"/>
        </w:rPr>
        <w:t>Confirme no Diário Oficial se o decreto de emergência estava vigente na data da contratação e do evento.</w:t>
      </w:r>
    </w:p>
    <w:p>
      <w:pPr>
        <w:numPr>
          <w:ilvl w:val="0"/>
          <w:numId w:val="17"/>
        </w:numPr>
      </w:pPr>
      <w:r>
        <w:rPr>
          <w:rFonts w:ascii="Calibri" w:hAnsi="Calibri" w:eastAsia="Calibri"/>
        </w:rPr>
        <w:t>Segregue a origem do financiamento de cada contrato: municipal, estadual, federal, mista ou outra.</w:t>
      </w:r>
    </w:p>
    <w:p>
      <w:pPr>
        <w:numPr>
          <w:ilvl w:val="0"/>
          <w:numId w:val="17"/>
        </w:numPr>
      </w:pPr>
      <w:r>
        <w:rPr>
          <w:rFonts w:ascii="Calibri" w:hAnsi="Calibri" w:eastAsia="Calibri"/>
        </w:rPr>
        <w:t>Identifique convênios e transferências para o evento e verifique condições, conta e fonte vinculada.</w:t>
      </w:r>
    </w:p>
    <w:p>
      <w:pPr>
        <w:numPr>
          <w:ilvl w:val="0"/>
          <w:numId w:val="17"/>
        </w:numPr>
      </w:pPr>
      <w:r>
        <w:rPr>
          <w:rFonts w:ascii="Century Gothic" w:hAnsi="Century Gothic"/>
          <w:sz w:val="20"/>
        </w:rPr>
        <w:t>Baixe a MSC de cada competência relevante — mês anterior à contratação, meses de pagamentos materiais e encerramento — e segregue os Ending_Balance por fonte.</w:t>
      </w:r>
    </w:p>
    <w:p>
      <w:pPr>
        <w:numPr>
          <w:ilvl w:val="0"/>
          <w:numId w:val="17"/>
        </w:numPr>
      </w:pPr>
      <w:r>
        <w:rPr>
          <w:rFonts w:ascii="Century Gothic" w:hAnsi="Century Gothic"/>
          <w:sz w:val="20"/>
        </w:rPr>
        <w:t>Apure (a) caixa bruta com 11111, 11121 e 11131; (b) RP liquidados anteriores com 6321 e 6313; (c) RP liquidados do exercício com 6327; e (d) RPNP anteriores com 6311 e 6312.</w:t>
      </w:r>
    </w:p>
    <w:p>
      <w:pPr>
        <w:numPr>
          <w:ilvl w:val="0"/>
          <w:numId w:val="17"/>
        </w:numPr>
      </w:pPr>
      <w:r>
        <w:rPr>
          <w:rFonts w:ascii="Century Gothic" w:hAnsi="Century Gothic"/>
          <w:sz w:val="20"/>
        </w:rPr>
        <w:t>Apure (e) demais obrigações com 218910105 e 218910108; some 863210000 nas FR 501/502/503 e 218800000 + 228800000 nas FR 860/861/862/869. Apure (f) insuficiência de consórcio com 8535.</w:t>
      </w:r>
    </w:p>
    <w:p>
      <w:pPr>
        <w:numPr>
          <w:ilvl w:val="0"/>
          <w:numId w:val="17"/>
        </w:numPr>
      </w:pPr>
      <w:r>
        <w:rPr>
          <w:rFonts w:ascii="Century Gothic" w:hAnsi="Century Gothic"/>
          <w:sz w:val="20"/>
        </w:rPr>
        <w:t>Calcule (g) = (a) − (b) − (c) − (d) − (e) − (f); apure (h) RPNP do exercício com 6317; e calcule (i) = (g) − (h). Registre cancelados (522920104) em memória, sem alterar as fórmulas (g) e (i).</w:t>
      </w:r>
    </w:p>
    <w:p>
      <w:pPr>
        <w:numPr>
          <w:ilvl w:val="0"/>
          <w:numId w:val="17"/>
        </w:numPr>
      </w:pPr>
      <w:r>
        <w:rPr>
          <w:rFonts w:ascii="Century Gothic" w:hAnsi="Century Gothic"/>
          <w:sz w:val="20"/>
        </w:rPr>
        <w:t>Escolha um único estágio para o gasto — contratado, empenho líquido, liquidado ou pago —, compare-o com (i) na mesma fonte/competência e avalie margem, cobertura, obrigações essenciais e horizonte de pagamento.</w:t>
      </w:r>
    </w:p>
    <w:p>
      <w:pPr>
        <w:pStyle w:val="Heading2"/>
        <w:keepNext/>
      </w:pPr>
      <w:r>
        <w:t>Memória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800"/>
        <w:gridCol w:w="6560"/>
      </w:tblGrid>
      <w:tr>
        <w:trPr>
          <w:tblHeader w:val="true"/>
          <w:cantSplit w:val="true"/>
        </w:trPr>
        <w:tc>
          <w:tcPr>
            <w:tcW w:type="dxa" w:w="28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Indicador</w:t>
            </w:r>
          </w:p>
        </w:tc>
        <w:tc>
          <w:tcPr>
            <w:tcW w:type="dxa" w:w="65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Cálculo</w:t>
            </w:r>
          </w:p>
        </w:tc>
      </w:tr>
      <w:tr>
        <w:trPr>
          <w:cantSplit w:val="true"/>
        </w:trPr>
        <w:tc>
          <w:tcPr>
            <w:tcW w:type="dxa" w:w="28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(a) Caixa bruta</w:t>
            </w:r>
          </w:p>
        </w:tc>
        <w:tc>
          <w:tcPr>
            <w:tcW w:type="dxa" w:w="65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Σ Ending_Balance de 11111 + 11121 + 11131</w:t>
            </w:r>
          </w:p>
        </w:tc>
      </w:tr>
      <w:tr>
        <w:trPr>
          <w:cantSplit w:val="true"/>
        </w:trPr>
        <w:tc>
          <w:tcPr>
            <w:tcW w:type="dxa" w:w="28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(b) a (f) Obrigações</w:t>
            </w:r>
          </w:p>
        </w:tc>
        <w:tc>
          <w:tcPr>
            <w:tcW w:type="dxa" w:w="65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(b) 6321+6313; (c) 6327; (d) 6311+6312; (e) 218910105+218910108 e contas especiais; (f) 8535</w:t>
            </w:r>
          </w:p>
        </w:tc>
      </w:tr>
      <w:tr>
        <w:trPr>
          <w:cantSplit w:val="true"/>
        </w:trPr>
        <w:tc>
          <w:tcPr>
            <w:tcW w:type="dxa" w:w="28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(g) Líquida antes RPNP</w:t>
            </w:r>
          </w:p>
        </w:tc>
        <w:tc>
          <w:tcPr>
            <w:tcW w:type="dxa" w:w="65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(a) − (b) − (c) − (d) − (e) − (f)</w:t>
            </w:r>
          </w:p>
        </w:tc>
      </w:tr>
      <w:tr>
        <w:trPr>
          <w:cantSplit w:val="true"/>
        </w:trPr>
        <w:tc>
          <w:tcPr>
            <w:tcW w:type="dxa" w:w="28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(h)/(i) RPNP e líquida final</w:t>
            </w:r>
          </w:p>
        </w:tc>
        <w:tc>
          <w:tcPr>
            <w:tcW w:type="dxa" w:w="65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(h) = 6317; (i) = (g) − (h)</w:t>
            </w:r>
          </w:p>
        </w:tc>
      </w:tr>
      <w:tr>
        <w:trPr>
          <w:cantSplit w:val="true"/>
        </w:trPr>
        <w:tc>
          <w:tcPr>
            <w:tcW w:type="dxa" w:w="28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Margem após evento</w:t>
            </w:r>
          </w:p>
        </w:tc>
        <w:tc>
          <w:tcPr>
            <w:tcW w:type="dxa" w:w="65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(i) − gasto do evento no mesmo estágio, fonte e competência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Modelo de resposta: Na competência [mês/ano], a fonte [código] apresentou (a) caixa bruta de R$ [valor], (b) a (f) obrigações de R$ [valor], (g) líquida antes de RPNP de R$ [valor], (h) RPNP do exercício de R$ [valor] e (i) líquida após RPNP de R$ [valor]. Comparado ao [estágio] do evento de R$ [valor], a margem foi R$ [valor]. O resultado é [estimativa gerencial mensal/fechamento], com as limitações [descrição] e evidências [IDs].</w:t>
            </w:r>
          </w:p>
        </w:tc>
      </w:tr>
    </w:tbl>
    <w:p>
      <w:pPr>
        <w:spacing w:after="0"/>
      </w:pPr>
    </w:p>
    <w:p>
      <w:pPr>
        <w:pStyle w:val="Heading1"/>
        <w:keepNext/>
        <w:pageBreakBefore w:val="0"/>
      </w:pPr>
      <w:r>
        <w:t>Q04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Há indícios de comprometimento da saúde financeira municipal em razão dos gastos com os festejos juninos?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06_Caixa_Fontes e 07_Indicadores.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18"/>
        </w:numPr>
      </w:pPr>
      <w:r>
        <w:rPr>
          <w:rFonts w:ascii="Century Gothic" w:hAnsi="Century Gothic"/>
          <w:sz w:val="20"/>
        </w:rPr>
        <w:t>Consolide a margem por fonte apurada em 06_Caixa_Fontes, destaque todas as fontes com (i) negativo e não compense insuficiências com superávits de outras fontes.</w:t>
      </w:r>
    </w:p>
    <w:p>
      <w:pPr>
        <w:numPr>
          <w:ilvl w:val="0"/>
          <w:numId w:val="18"/>
        </w:numPr>
      </w:pPr>
      <w:r>
        <w:rPr>
          <w:rFonts w:ascii="Calibri" w:hAnsi="Calibri" w:eastAsia="Calibri"/>
        </w:rPr>
        <w:t>Na aba 07_Indicadores, informe resultado orçamentário, disponibilidade líquida, restos a pagar e obrigações essenciais em atraso.</w:t>
      </w:r>
    </w:p>
    <w:p>
      <w:pPr>
        <w:numPr>
          <w:ilvl w:val="0"/>
          <w:numId w:val="18"/>
        </w:numPr>
      </w:pPr>
      <w:r>
        <w:rPr>
          <w:rFonts w:ascii="Calibri" w:hAnsi="Calibri" w:eastAsia="Calibri"/>
        </w:rPr>
        <w:t>Use três referências comparáveis: período anterior, imediatamente pré-evento e pós-evento/encerramento.</w:t>
      </w:r>
    </w:p>
    <w:p>
      <w:pPr>
        <w:numPr>
          <w:ilvl w:val="0"/>
          <w:numId w:val="18"/>
        </w:numPr>
      </w:pPr>
      <w:r>
        <w:rPr>
          <w:rFonts w:ascii="Calibri" w:hAnsi="Calibri" w:eastAsia="Calibri"/>
        </w:rPr>
        <w:t>Calcule variações absoluta e percentual e classifique a direção como favorável, neutra, adversa ou inconclusiva.</w:t>
      </w:r>
    </w:p>
    <w:p>
      <w:pPr>
        <w:numPr>
          <w:ilvl w:val="0"/>
          <w:numId w:val="18"/>
        </w:numPr>
      </w:pPr>
      <w:r>
        <w:rPr>
          <w:rFonts w:ascii="Calibri" w:hAnsi="Calibri" w:eastAsia="Calibri"/>
        </w:rPr>
        <w:t>Identifique se o evento está documentalmente ligado à variação: fonte consumida, remanejamento, vencimento de obrigação, atraso ou nota técnica.</w:t>
      </w:r>
    </w:p>
    <w:p>
      <w:pPr>
        <w:numPr>
          <w:ilvl w:val="0"/>
          <w:numId w:val="18"/>
        </w:numPr>
      </w:pPr>
      <w:r>
        <w:rPr>
          <w:rFonts w:ascii="Calibri" w:hAnsi="Calibri" w:eastAsia="Calibri"/>
        </w:rPr>
        <w:t>Descreva fatores concorrentes, como queda de receita, outras despesas extraordinárias e reconhecimento tardio de passivos.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Regra de linguagem: </w:t>
            </w:r>
            <w:r>
              <w:rPr>
                <w:rFonts w:ascii="Calibri" w:hAnsi="Calibri" w:eastAsia="Calibri"/>
                <w:color w:val="172B27"/>
              </w:rPr>
              <w:t>use 'há indícios' quando existirem variação adversa, materialidade e proximidade temporal, mas faltar prova suficiente do nexo. Use 'decorrente' somente quando a relação estiver documentada e quantificada.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Foram observadas variações de R$ [valor] no resultado orçamentário, R$ [valor] na disponibilidade líquida e R$ [valor] nos restos a pagar. [Há/não há] indícios de comprometimento relacionados ao evento porque [fundamento]. A conclusão é limitada por [limitações] e está apoiada nas evidências [IDs].</w:t>
            </w:r>
          </w:p>
        </w:tc>
      </w:tr>
    </w:tbl>
    <w:p>
      <w:pPr>
        <w:pStyle w:val="Heading1"/>
        <w:keepNext/>
        <w:pageBreakBefore/>
      </w:pPr>
      <w:r>
        <w:t>Q05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Verificar, com base nos documentos juntados aos autos (balanço anual, contratos, empenhos, notas de liquidação e pareceres do TCM), se as despesas relativas à festa de emancipação de 2022 foram devidamente empenhadas, liquidadas e pagas, conforme a legislação.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03_Contratacoes e 05_Execucao.</w:t>
      </w:r>
    </w:p>
    <w:p>
      <w:pPr>
        <w:pStyle w:val="Heading2"/>
        <w:keepNext/>
      </w:pPr>
      <w:r>
        <w:t>Procedimento específico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Cadastre todos os fornecedores e contratos da festa de emancipação de 2022 na aba 03_Contratacoes.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Localize cada processo no SIGA, e-TCM e Portal da Transparência e vincule os documentos dos autos.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Na aba 05_Execucao, preencha o evento com a expressão 'Emancipação' e o exercício 2022 para ativar a triagem do quesito.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Concilie o total contratado com empenho líquido, liquidado e pago por fornecedor, sem somar as etapas.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Teste empenho prévio, documentação da liquidação, beneficiário, pagamento e eventuais anulações.</w:t>
      </w:r>
    </w:p>
    <w:p>
      <w:pPr>
        <w:numPr>
          <w:ilvl w:val="0"/>
          <w:numId w:val="19"/>
        </w:numPr>
      </w:pPr>
      <w:r>
        <w:rPr>
          <w:rFonts w:ascii="Calibri" w:hAnsi="Calibri" w:eastAsia="Calibri"/>
        </w:rPr>
        <w:t>Confronte as conclusões com o balanço anual e os pareceres do TCM, registrando divergência de período, fonte ou classificação.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500"/>
        <w:gridCol w:w="6860"/>
      </w:tblGrid>
      <w:tr>
        <w:trPr>
          <w:tblHeader w:val="true"/>
          <w:cantSplit w:val="true"/>
        </w:trPr>
        <w:tc>
          <w:tcPr>
            <w:tcW w:type="dxa" w:w="25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Fornecedor</w:t>
            </w:r>
          </w:p>
        </w:tc>
        <w:tc>
          <w:tcPr>
            <w:tcW w:type="dxa" w:w="68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Conciliação obrigatória</w:t>
            </w:r>
          </w:p>
        </w:tc>
      </w:tr>
      <w:tr>
        <w:trPr>
          <w:cantSplit w:val="true"/>
        </w:trPr>
        <w:tc>
          <w:tcPr>
            <w:tcW w:type="dxa" w:w="2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Cada contratado</w:t>
            </w:r>
          </w:p>
        </w:tc>
        <w:tc>
          <w:tcPr>
            <w:tcW w:type="dxa" w:w="68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Contrato ↔ empenho líquido ↔ liquidação ↔ pagamento ↔ balanço/parecer</w:t>
            </w:r>
          </w:p>
        </w:tc>
      </w:tr>
      <w:tr>
        <w:trPr>
          <w:cantSplit w:val="true"/>
        </w:trPr>
        <w:tc>
          <w:tcPr>
            <w:tcW w:type="dxa" w:w="25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Total do evento</w:t>
            </w:r>
          </w:p>
        </w:tc>
        <w:tc>
          <w:tcPr>
            <w:tcW w:type="dxa" w:w="68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Soma dos contratos únicos ↔ total do empenho líquido ↔ total liquidado ↔ total pago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Foram identificados [n] fornecedores e contratos de R$ [valor]. O empenho líquido totalizou R$ [valor], a liquidação R$ [valor] e o pagamento R$ [valor]. [n] processos atenderam integralmente ao ciclo e [n] apresentaram as exceções [descrição], documentadas nos IDs [evidências].</w:t>
            </w:r>
          </w:p>
        </w:tc>
      </w:tr>
    </w:tbl>
    <w:p>
      <w:pPr>
        <w:pStyle w:val="Heading1"/>
        <w:keepNext/>
        <w:pageBreakBefore/>
      </w:pPr>
      <w:r>
        <w:t>Q06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Indicar se há evidência documental de dotação orçamentária específica ou de abertura regular de crédito adicional para custeio do evento.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02_Evidencias e 04_Dotacao.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20"/>
        </w:numPr>
      </w:pPr>
      <w:r>
        <w:rPr>
          <w:rFonts w:ascii="Calibri" w:hAnsi="Calibri" w:eastAsia="Calibri"/>
        </w:rPr>
        <w:t>Identifique a ação e a dotação na LOA/QDD e confirme função e subfunção compatíveis com cultura/festividades.</w:t>
      </w:r>
    </w:p>
    <w:p>
      <w:pPr>
        <w:numPr>
          <w:ilvl w:val="0"/>
          <w:numId w:val="20"/>
        </w:numPr>
      </w:pPr>
      <w:r>
        <w:rPr>
          <w:rFonts w:ascii="Calibri" w:hAnsi="Calibri" w:eastAsia="Calibri"/>
        </w:rPr>
        <w:t>Se a dotação depender de crédito adicional, obtenha lei ou decreto, autorização, fonte de cobertura e publicação.</w:t>
      </w:r>
    </w:p>
    <w:p>
      <w:pPr>
        <w:numPr>
          <w:ilvl w:val="0"/>
          <w:numId w:val="20"/>
        </w:numPr>
      </w:pPr>
      <w:r>
        <w:rPr>
          <w:rFonts w:ascii="Calibri" w:hAnsi="Calibri" w:eastAsia="Calibri"/>
        </w:rPr>
        <w:t>Confirme o reflexo do crédito no PCMGE065 e nos demonstrativos PCMGE011 a PCMGE014.</w:t>
      </w:r>
    </w:p>
    <w:p>
      <w:pPr>
        <w:numPr>
          <w:ilvl w:val="0"/>
          <w:numId w:val="20"/>
        </w:numPr>
      </w:pPr>
      <w:r>
        <w:rPr>
          <w:rFonts w:ascii="Calibri" w:hAnsi="Calibri" w:eastAsia="Calibri"/>
        </w:rPr>
        <w:t>Cadastre separadamente a LOA, o ato do crédito, a publicação e os demonstrativos na aba 02_Evidencias.</w:t>
      </w:r>
    </w:p>
    <w:p>
      <w:pPr>
        <w:numPr>
          <w:ilvl w:val="0"/>
          <w:numId w:val="20"/>
        </w:numPr>
      </w:pPr>
      <w:r>
        <w:rPr>
          <w:rFonts w:ascii="Calibri" w:hAnsi="Calibri" w:eastAsia="Calibri"/>
        </w:rPr>
        <w:t>Na aba 04_Dotacao, associe os IDs de evidência e confirme que o crédito estava disponível antes da contratação.</w:t>
      </w:r>
    </w:p>
    <w:p>
      <w:pPr>
        <w:pStyle w:val="Heading2"/>
        <w:keepNext/>
      </w:pPr>
      <w:r>
        <w:t>Decisão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Há evidência específica quando a LOA/QDD identifica ação e natureza suficientes e a execução coincide com elas.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Há evidência de crédito adicional quando ato, autorização, fonte de cobertura, publicação e reflexo contábil são coerentes.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A mera existência de saldo após a contratação não substitui a prova de autorização prévia.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A autorização orçamentária decorre da [LOA/crédito adicional], ação [código], fonte [código], no valor de R$ [valor]. O ato [identificação] foi publicado em [data] e refletido nos demonstrativos [IDs]. Portanto, [há/não há/há parcialmente] evidência documental suficiente.</w:t>
            </w:r>
          </w:p>
        </w:tc>
      </w:tr>
    </w:tbl>
    <w:p>
      <w:pPr>
        <w:pStyle w:val="Heading1"/>
        <w:keepNext/>
        <w:pageBreakBefore/>
      </w:pPr>
      <w:r>
        <w:t>Q07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Avaliar, a partir das peças anexas, se houve alterações em indicadores fiscais (resultado orçamentário, disponibilidade de caixa, restos a pagar) que possam indicar comprometimento financeiro decorrente da despesa.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07_Indicadores.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21"/>
        </w:numPr>
      </w:pPr>
      <w:r>
        <w:rPr>
          <w:rFonts w:ascii="Calibri" w:hAnsi="Calibri" w:eastAsia="Calibri"/>
        </w:rPr>
        <w:t>Defina períodos comparáveis e registre a unidade e a fonte de cada indicador.</w:t>
      </w:r>
    </w:p>
    <w:p>
      <w:pPr>
        <w:numPr>
          <w:ilvl w:val="0"/>
          <w:numId w:val="21"/>
        </w:numPr>
      </w:pPr>
      <w:r>
        <w:rPr>
          <w:rFonts w:ascii="Calibri" w:hAnsi="Calibri" w:eastAsia="Calibri"/>
        </w:rPr>
        <w:t>Informe resultado orçamentário, disponibilidade de caixa e restos a pagar; acrescente obrigações essenciais em atraso quando disponível.</w:t>
      </w:r>
    </w:p>
    <w:p>
      <w:pPr>
        <w:numPr>
          <w:ilvl w:val="0"/>
          <w:numId w:val="21"/>
        </w:numPr>
      </w:pPr>
      <w:r>
        <w:rPr>
          <w:rFonts w:ascii="Calibri" w:hAnsi="Calibri" w:eastAsia="Calibri"/>
        </w:rPr>
        <w:t>Analise variação absoluta, percentual, direção e materialidade.</w:t>
      </w:r>
    </w:p>
    <w:p>
      <w:pPr>
        <w:numPr>
          <w:ilvl w:val="0"/>
          <w:numId w:val="21"/>
        </w:numPr>
      </w:pPr>
      <w:r>
        <w:rPr>
          <w:rFonts w:ascii="Calibri" w:hAnsi="Calibri" w:eastAsia="Calibri"/>
        </w:rPr>
        <w:t>Verifique se a despesa festiva afetou a mesma fonte, período ou indicador e se há documento que demonstre o vínculo.</w:t>
      </w:r>
    </w:p>
    <w:p>
      <w:pPr>
        <w:numPr>
          <w:ilvl w:val="0"/>
          <w:numId w:val="21"/>
        </w:numPr>
      </w:pPr>
      <w:r>
        <w:rPr>
          <w:rFonts w:ascii="Calibri" w:hAnsi="Calibri" w:eastAsia="Calibri"/>
        </w:rPr>
        <w:t>Registre explicações alternativas e mudanças de critério contábil que comprometam comparabilidade.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Entre [período 1] e [período 2], o resultado orçamentário variou [valor/%], a disponibilidade de caixa [valor/%] e os restos a pagar [valor/%]. A relação com os festejos foi classificada como [sim/indício/não/inconclusiva] pelos fundamentos [descrição] e evidências [IDs].</w:t>
            </w:r>
          </w:p>
        </w:tc>
      </w:tr>
    </w:tbl>
    <w:p>
      <w:pPr>
        <w:pStyle w:val="Heading1"/>
        <w:keepNext/>
        <w:pageBreakBefore/>
      </w:pPr>
      <w:r>
        <w:t>Q08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Verificar se a execução orçamentária geral do exercício indica priorização indevida de despesas festivas em detrimento de ações voltadas à mitigação da estiagem ou à execução de políticas públicas essenciais, podendo o CEAT apontar, se possível, incompatibilidade entre o cenário fiscal e o gasto realizado.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08_Prioridades.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Identifique decretos, planos, ações e fontes vinculados à estiagem e às políticas essenciais.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Cadastre créditos iniciais, acréscimos, reduções, empenho líquido, liquidação e pagamento por ação e período.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Classifique cada linha como Festejos, Estiagem, Políticas essenciais ou Outra.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Identifique reduções ou remanejamentos de ações essenciais relacionados ao financiamento do evento.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Compare a execução temporal: despesa não executada, obrigação vencida, meta suspensa ou atraso concomitante ao evento.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Avalie fonte e vinculação; despesas de fontes diferentes não devem ser tratadas como concorrentes sem base jurídica e orçamentária.</w:t>
      </w:r>
    </w:p>
    <w:p>
      <w:pPr>
        <w:numPr>
          <w:ilvl w:val="0"/>
          <w:numId w:val="22"/>
        </w:numPr>
      </w:pPr>
      <w:r>
        <w:rPr>
          <w:rFonts w:ascii="Calibri" w:hAnsi="Calibri" w:eastAsia="Calibri"/>
        </w:rPr>
        <w:t>Conclua priorização indevida apenas quando houver escolha orçamentária demonstrável, materialidade e prejuízo/risco à política essencial.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resposta: </w:t>
            </w:r>
            <w:r>
              <w:rPr>
                <w:rFonts w:ascii="Calibri" w:hAnsi="Calibri" w:eastAsia="Calibri"/>
                <w:color w:val="172B27"/>
              </w:rPr>
              <w:t>Os festejos totalizaram R$ [valor]. As ações de estiagem e políticas essenciais tiveram créditos de R$ [valor], reduções de R$ [valor] e empenho líquido de R$ [valor]. [Foi/não foi] identificado remanejamento relacionado ao evento, conforme [atos/evidências]. O cenário [indica/não indica/não permite concluir] priorização indevida porque [fundamento].</w:t>
            </w:r>
          </w:p>
        </w:tc>
      </w:tr>
    </w:tbl>
    <w:p>
      <w:pPr>
        <w:pStyle w:val="Heading1"/>
        <w:keepNext/>
        <w:pageBreakBefore/>
      </w:pPr>
      <w:r>
        <w:t>Q09 — Procedimento de resposta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Quesito: </w:t>
            </w:r>
            <w:r>
              <w:rPr>
                <w:rFonts w:ascii="Calibri" w:hAnsi="Calibri" w:eastAsia="Calibri"/>
                <w:color w:val="172B27"/>
              </w:rPr>
              <w:t>Emitir síntese conclusiva, fundamentada exclusivamente nos dados contábeis e fiscais constantes dos autos, indicando se há coerência técnica entre os valores pagos, as dotações orçamentárias e os limites fiscais do exercício.</w:t>
            </w:r>
          </w:p>
        </w:tc>
      </w:tr>
    </w:tbl>
    <w:p>
      <w:pPr>
        <w:spacing w:after="0"/>
      </w:pPr>
    </w:p>
    <w:p>
      <w:pPr>
        <w:keepNext w:val="0"/>
      </w:pPr>
      <w:r>
        <w:rPr>
          <w:rFonts w:ascii="Calibri" w:hAnsi="Calibri" w:eastAsia="Calibri"/>
          <w:b/>
        </w:rPr>
        <w:t>Abas vinculadas:</w:t>
      </w:r>
      <w:r>
        <w:rPr>
          <w:rFonts w:ascii="Calibri" w:hAnsi="Calibri" w:eastAsia="Calibri"/>
          <w:i w:val="0"/>
        </w:rPr>
        <w:t xml:space="preserve"> 09_Matriz_Respostas e 10_Sintese.</w:t>
      </w:r>
    </w:p>
    <w:p>
      <w:pPr>
        <w:pStyle w:val="Heading2"/>
        <w:keepNext/>
      </w:pPr>
      <w:r>
        <w:t>Procedimento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Revise as conclusões sugeridas de Q01 a Q08 e preencha a conclusão aprovada.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Informe resultado quantitativo, evidências, fundamento, gravidade e limitação em cada linha.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Confirme que totais contratados, empenhados, liquidados e pagos foram comparados, não somados.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Confirme que dotação e caixa foram avaliadas na data/período correto e por fonte.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Separe incoerência orçamentária, irregularidade de execução, insuficiência financeira e limitação documental.</w:t>
      </w:r>
    </w:p>
    <w:p>
      <w:pPr>
        <w:numPr>
          <w:ilvl w:val="0"/>
          <w:numId w:val="23"/>
        </w:numPr>
      </w:pPr>
      <w:r>
        <w:rPr>
          <w:rFonts w:ascii="Calibri" w:hAnsi="Calibri" w:eastAsia="Calibri"/>
        </w:rPr>
        <w:t>Redija a síntese na aba 10, respondendo expressamente à coerência entre valores pagos, dotações e cenário fiscal.</w:t>
      </w:r>
    </w:p>
    <w:p>
      <w:pPr>
        <w:numPr>
          <w:ilvl w:val="0"/>
          <w:numId w:val="23"/>
        </w:numPr>
      </w:pPr>
      <w:r>
        <w:rPr>
          <w:rFonts w:ascii="Century Gothic" w:hAnsi="Century Gothic"/>
          <w:sz w:val="20"/>
        </w:rPr>
        <w:t>Submeta a revisão, execute o checklist e confirme as onze saídas e oito validações da aba 12_Controle_Prompt antes da emissão.</w:t>
      </w:r>
    </w:p>
    <w:p>
      <w:pPr>
        <w:pStyle w:val="Heading2"/>
        <w:keepNext/>
      </w:pPr>
      <w:r>
        <w:t>Estrutura da síntese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1900"/>
        <w:gridCol w:w="7460"/>
      </w:tblGrid>
      <w:tr>
        <w:trPr>
          <w:tblHeader w:val="true"/>
          <w:cantSplit w:val="true"/>
        </w:trPr>
        <w:tc>
          <w:tcPr>
            <w:tcW w:type="dxa" w:w="1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Bloco</w:t>
            </w:r>
          </w:p>
        </w:tc>
        <w:tc>
          <w:tcPr>
            <w:tcW w:type="dxa" w:w="74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Conteúdo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Objeto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Município, evento, exercício, período e documentos examinados.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Valores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Contratado, empenho líquido, liquidado e pago; diferenças e conciliações.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Orçamento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Ação, fonte, créditos, utilização e margem na data da contratação.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Finanças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b w:val="0"/>
                <w:sz w:val="18"/>
              </w:rPr>
              <w:t>Disponibilidade mensal por fonte, componentes (a) a (i), natureza gerencial/fechamento, obrigações, margem e indicadores fiscais.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Prioridades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Comparação com estiagem e políticas essenciais, respeitando fontes e vinculações.</w:t>
            </w:r>
          </w:p>
        </w:tc>
      </w:tr>
      <w:tr>
        <w:trPr>
          <w:cantSplit w:val="true"/>
        </w:trPr>
        <w:tc>
          <w:tcPr>
            <w:tcW w:type="dxa" w:w="1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Conclusão</w:t>
            </w:r>
          </w:p>
        </w:tc>
        <w:tc>
          <w:tcPr>
            <w:tcW w:type="dxa" w:w="7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Resposta direta, achados, efeitos, limitações e evidências.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FFF6DB"/>
            <w:tcBorders>
              <w:top w:val="single" w:sz="4" w:color="E3D59B"/>
              <w:left w:val="single" w:sz="4" w:color="E3D59B"/>
              <w:bottom w:val="single" w:sz="4" w:color="E3D59B"/>
              <w:right w:val="single" w:sz="4" w:color="E3D59B"/>
              <w:insideH w:val="single" w:sz="4" w:color="E3D59B"/>
              <w:insideV w:val="single" w:sz="4" w:color="E3D59B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color w:val="084C3A"/>
              </w:rPr>
              <w:t xml:space="preserve">Modelo de fechamento: </w:t>
            </w:r>
            <w:r>
              <w:rPr>
                <w:rFonts w:ascii="Calibri" w:hAnsi="Calibri" w:eastAsia="Calibri"/>
                <w:color w:val="172B27"/>
              </w:rPr>
              <w:t>Com base exclusivamente nos dados contábeis e fiscais examinados, os valores pagos de R$ [valor] [guardam/não guardam/guardam parcialmente] coerência com o empenho líquido de R$ [valor], a liquidação de R$ [valor], os créditos disponíveis de R$ [valor] e a margem financeira de R$ [valor]. A conclusão é [status], em razão de [fundamento], ressalvadas as limitações [descrição].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6. Padrão de redação das respostas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Comece com resposta direta: sim, não, parcialmente ou não foi possível concluir.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Apresente os valores e a data-base imediatamente após a resposta.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Identifique ação, fonte, processo, fornecedor e período quando relevantes.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Cite os IDs das evidências, não apenas o nome do sistema.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Descreva diferença, critério, causa conhecida, efeito e limitação.</w:t>
      </w:r>
    </w:p>
    <w:p>
      <w:pPr>
        <w:numPr>
          <w:ilvl w:val="0"/>
          <w:numId w:val="10"/>
        </w:numPr>
      </w:pPr>
      <w:r>
        <w:rPr>
          <w:rFonts w:ascii="Calibri" w:hAnsi="Calibri" w:eastAsia="Calibri"/>
        </w:rPr>
        <w:t>Evite juízo jurídico fora do escopo contábil; quando necessário, indique necessidade de análise jurídica.</w:t>
      </w:r>
    </w:p>
    <w:p>
      <w:pPr>
        <w:pStyle w:val="Heading1"/>
        <w:keepNext/>
      </w:pPr>
      <w:r>
        <w:t>7. Organização das evidências</w:t>
      </w:r>
    </w:p>
    <w:p>
      <w:pPr>
        <w:keepNext w:val="0"/>
      </w:pPr>
      <w:r>
        <w:rPr>
          <w:rFonts w:ascii="Calibri" w:hAnsi="Calibri" w:eastAsia="Calibri"/>
          <w:i w:val="0"/>
        </w:rPr>
        <w:t>Use a estrutura de pasta: Município &gt; Exercício &gt; Evento &gt; Quesito &gt; Fonte. Preserve o arquivo bruto e uma cópia de trabalho; não substitua evidência original por planilha tratada.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200"/>
        <w:gridCol w:w="7160"/>
      </w:tblGrid>
      <w:tr>
        <w:trPr>
          <w:tblHeader w:val="true"/>
          <w:cantSplit w:val="true"/>
        </w:trPr>
        <w:tc>
          <w:tcPr>
            <w:tcW w:type="dxa" w:w="22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Elemento</w:t>
            </w:r>
          </w:p>
        </w:tc>
        <w:tc>
          <w:tcPr>
            <w:tcW w:type="dxa" w:w="71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Padrão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ID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EV-Q01-001, EV-Q02-001, ...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Nome do arquivo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AAAA-MM-DD_Fonte_Competencia_Descricao.ext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Registro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Data da coleta, responsável, município, exercício, competência e filtro</w:t>
            </w:r>
          </w:p>
        </w:tc>
      </w:tr>
      <w:tr>
        <w:trPr>
          <w:cantSplit w:val="true"/>
        </w:trPr>
        <w:tc>
          <w:tcPr>
            <w:tcW w:type="dxa" w:w="22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Referência</w:t>
            </w:r>
          </w:p>
        </w:tc>
        <w:tc>
          <w:tcPr>
            <w:tcW w:type="dxa" w:w="71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Página, linha, processo, contrato, empenho ou conta contábil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8. Checklist de revisão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Os nove quesitos foram respondidos de forma individual.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Toda conclusão possui evidência suficiente e adequada ou limitação expressa.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A população de contratos foi conciliada entre processo, Painel, SIGA, e-TCM e transparência.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A semântica da coluna valor foi validada e o PCMGE056 foi conciliado com o PCMGE015 no mesmo estágio e período.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O detalhamento 99 só incluiu itens documentalmente vinculados ao evento.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O saldo da dotação foi reconstruído até o dia anterior à contratação.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O empenho líquido foi usado como consumo orçamentário.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Liquidação e pagamento não foram somados ao empenho.</w:t>
      </w:r>
    </w:p>
    <w:p>
      <w:pPr>
        <w:numPr>
          <w:ilvl w:val="0"/>
          <w:numId w:val="11"/>
        </w:numPr>
      </w:pPr>
      <w:r>
        <w:rPr>
          <w:rFonts w:ascii="Century Gothic" w:hAnsi="Century Gothic"/>
          <w:sz w:val="20"/>
        </w:rPr>
        <w:t>As contas do Anexo 5 foram aplicadas ao Ending_Balance sem duplicidade e as contas especiais da coluna (e) foram incluídas nas fontes correspondentes.</w:t>
      </w:r>
    </w:p>
    <w:p>
      <w:pPr>
        <w:numPr>
          <w:ilvl w:val="0"/>
          <w:numId w:val="11"/>
        </w:numPr>
      </w:pPr>
      <w:r>
        <w:rPr>
          <w:rFonts w:ascii="Century Gothic" w:hAnsi="Century Gothic"/>
          <w:sz w:val="20"/>
        </w:rPr>
        <w:t>Disponibilidade e gasto foram comparados por fonte, competência e mesmo estágio; competências 01 a 11 foram identificadas como estimativa gerencial e fontes negativas foram preservadas.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Variação fiscal foi separada de causalidade comprovada.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A análise de priorização considerou remanejamentos, execução temporal, fonte e efeitos sobre políticas.</w:t>
      </w:r>
    </w:p>
    <w:p>
      <w:pPr>
        <w:numPr>
          <w:ilvl w:val="0"/>
          <w:numId w:val="11"/>
        </w:numPr>
      </w:pPr>
      <w:r>
        <w:rPr>
          <w:rFonts w:ascii="Calibri" w:hAnsi="Calibri" w:eastAsia="Calibri"/>
        </w:rPr>
        <w:t>O revisor recalculou as fórmulas-chave e aprovou a síntese.</w:t>
      </w:r>
    </w:p>
    <w:p>
      <w:pPr>
        <w:pStyle w:val="Heading1"/>
        <w:keepNext/>
      </w:pPr>
      <w:r>
        <w:t>9. Fontes e referências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2900"/>
        <w:gridCol w:w="6460"/>
      </w:tblGrid>
      <w:tr>
        <w:trPr>
          <w:tblHeader w:val="true"/>
          <w:cantSplit w:val="true"/>
        </w:trPr>
        <w:tc>
          <w:tcPr>
            <w:tcW w:type="dxa" w:w="290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Fonte</w:t>
            </w:r>
          </w:p>
        </w:tc>
        <w:tc>
          <w:tcPr>
            <w:tcW w:type="dxa" w:w="6460"/>
            <w:shd w:fill="0B6B4B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after="0"/>
              <w:jc w:val="center"/>
            </w:pPr>
            <w:r>
              <w:rPr>
                <w:rFonts w:ascii="Calibri" w:hAnsi="Calibri" w:eastAsia="Calibri"/>
                <w:b/>
                <w:color w:val="FFFFFF"/>
                <w:sz w:val="18"/>
              </w:rPr>
              <w:t>Endereço/referência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Quesitos da CEAT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Quesitos - Festejos v4 - apuração das despesas executadas(3).docx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e-TCM Consulta Pública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https://e.tcm.ba.gov.br/epp/ConsultaPublica/listView.seam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Tabelas internas TCM-BA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https://www.tcm.ba.gov.br/tabelas-internas-contabilidade-municipal/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Consulta de despesas TCM-BA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https://www.tcm.ba.gov.br/controle-social/consulta-de-despesas/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Painel Junino MPBA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https://paineljunino.mpba.mp.br/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SICONFI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https://siconfi.tesouro.gov.br/siconfi/index.jsf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Lei nº 4.320/1964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https://www.planalto.gov.br/ccivil_03/leis/l4320.htm</w:t>
            </w:r>
          </w:p>
        </w:tc>
      </w:tr>
      <w:tr>
        <w:trPr>
          <w:cantSplit w:val="true"/>
        </w:trPr>
        <w:tc>
          <w:tcPr>
            <w:tcW w:type="dxa" w:w="290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/>
                <w:color w:val="172B27"/>
                <w:sz w:val="18"/>
              </w:rPr>
              <w:t>Lei Complementar nº 101/2000</w:t>
            </w:r>
          </w:p>
        </w:tc>
        <w:tc>
          <w:tcPr>
            <w:tcW w:type="dxa" w:w="6460"/>
            <w:tcBorders>
              <w:top w:val="single" w:sz="4" w:color="D8E2DE"/>
              <w:left w:val="single" w:sz="4" w:color="D8E2DE"/>
              <w:bottom w:val="single" w:sz="4" w:color="D8E2DE"/>
              <w:right w:val="single" w:sz="4" w:color="D8E2DE"/>
              <w:insideH w:val="single" w:sz="4" w:color="D8E2DE"/>
              <w:insideV w:val="single" w:sz="4" w:color="D8E2DE"/>
            </w:tcBorders>
            <w:vAlign w:val="center"/>
            <w:shd w:fill="F8FAF9"/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40" w:line="264" w:lineRule="auto"/>
            </w:pPr>
            <w:r>
              <w:rPr>
                <w:rFonts w:ascii="Calibri" w:hAnsi="Calibri" w:eastAsia="Calibri"/>
                <w:b w:val="0"/>
                <w:color w:val="172B27"/>
                <w:sz w:val="18"/>
              </w:rPr>
              <w:t>https://www.planalto.gov.br/ccivil_03/leis/lcp/lcp101.htm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type="dxa" w:w="120"/>
      </w:tblPr>
      <w:tblGrid>
        <w:gridCol w:w="9360"/>
      </w:tblGrid>
      <w:tr>
        <w:trPr>
          <w:cantSplit w:val="true"/>
        </w:trPr>
        <w:tc>
          <w:tcPr>
            <w:tcW w:type="dxa" w:w="9360"/>
            <w:shd w:fill="EAF5F0"/>
            <w:tcBorders>
              <w:top w:val="single" w:sz="4" w:color="B8D8C8"/>
              <w:left w:val="single" w:sz="4" w:color="B8D8C8"/>
              <w:bottom w:val="single" w:sz="4" w:color="B8D8C8"/>
              <w:right w:val="single" w:sz="4" w:color="B8D8C8"/>
              <w:insideH w:val="single" w:sz="4" w:color="B8D8C8"/>
              <w:insideV w:val="single" w:sz="4" w:color="B8D8C8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r>
              <w:rPr>
                <w:rFonts w:ascii="Century Gothic" w:hAnsi="Century Gothic"/>
                <w:sz w:val="16"/>
              </w:rPr>
              <w:t>Validade da fonte: antes da análise, confirme exercício, competência, ente, demonstrativo e data da coleta. Na caixa, use o MDF aplicável e o mapeamento do Anexo 5 fornecido no curso. Havendo divergência entre sistemas, preserve as versões e fundamente qual evidência sustenta a conclusão.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eastAsia="Calibri"/>
        <w:color w:val="6B7280"/>
        <w:sz w:val="18"/>
      </w:rPr>
      <w:t xml:space="preserve">Página </w:t>
    </w:r>
    <w:r>
      <w:rPr>
        <w:rFonts w:ascii="Calibri" w:hAnsi="Calibri" w:eastAsia="Calibri"/>
        <w:color w:val="6B7280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6B7280"/>
        <w:sz w:val="17"/>
      </w:rPr>
      <w:t>POP CEAT | Quesitos de Festejos Municipais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☐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2">
    <w:abstractNumId w:val="11"/>
  </w:num>
  <w:abstractNum w:abstractNumId="1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3">
    <w:abstractNumId w:val="12"/>
  </w:num>
  <w:abstractNum w:abstractNumId="13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4">
    <w:abstractNumId w:val="13"/>
  </w:num>
  <w:abstractNum w:abstractNumId="14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5">
    <w:abstractNumId w:val="14"/>
  </w:num>
  <w:abstractNum w:abstractNumId="15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6">
    <w:abstractNumId w:val="15"/>
  </w:num>
  <w:abstractNum w:abstractNumId="16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7">
    <w:abstractNumId w:val="16"/>
  </w:num>
  <w:abstractNum w:abstractNumId="17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8">
    <w:abstractNumId w:val="17"/>
  </w:num>
  <w:abstractNum w:abstractNumId="18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19">
    <w:abstractNumId w:val="18"/>
  </w:num>
  <w:abstractNum w:abstractNumId="1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20">
    <w:abstractNumId w:val="19"/>
  </w:num>
  <w:abstractNum w:abstractNumId="2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21">
    <w:abstractNumId w:val="20"/>
  </w:num>
  <w:abstractNum w:abstractNumId="2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22">
    <w:abstractNumId w:val="21"/>
  </w:num>
  <w:abstractNum w:abstractNumId="22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</w:lvl>
  </w:abstract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B2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B6B4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B6B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84C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2026-08-17T06:16:47Z</dcterms:modified>
  <cp:category/>
</cp:coreProperties>
</file>