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/>
      </w:pPr>
      <w:r>
        <w:rPr>
          <w:rFonts w:ascii="Century Gothic" w:hAnsi="Century Gothic"/>
          <w:b/>
          <w:i w:val="0"/>
          <w:color w:val="D8A928"/>
          <w:sz w:val="19"/>
        </w:rPr>
        <w:t>CEAT · MINISTÉRIO PÚBLICO DO ESTADO DA BAHIA</w:t>
      </w:r>
    </w:p>
    <w:p>
      <w:r>
        <w:rPr>
          <w:rFonts w:ascii="Century Gothic" w:hAnsi="Century Gothic"/>
          <w:b/>
          <w:i w:val="0"/>
          <w:color w:val="07513A"/>
          <w:sz w:val="46"/>
        </w:rPr>
        <w:t>Prompt mestre — Auditoria e Conciliação</w:t>
      </w:r>
    </w:p>
    <w:p>
      <w:r>
        <w:rPr>
          <w:rFonts w:ascii="Century Gothic" w:hAnsi="Century Gothic"/>
          <w:b w:val="0"/>
          <w:i w:val="0"/>
          <w:color w:val="5F6B66"/>
          <w:sz w:val="25"/>
        </w:rPr>
        <w:t>Gastos com Festejos Juninos · versão adaptada após aplicação em Jequié/BA · atualização da disponibilidade mensal</w:t>
      </w:r>
    </w:p>
    <w:p>
      <w:pPr>
        <w:shd w:fill="EAF5EE"/>
      </w:pPr>
      <w:r>
        <w:rPr>
          <w:rFonts w:ascii="Century Gothic" w:hAnsi="Century Gothic"/>
          <w:b/>
          <w:i w:val="0"/>
          <w:color w:val="07513A"/>
          <w:sz w:val="20"/>
        </w:rPr>
        <w:t>Uso: copie o conteúdo integral a partir da página seguinte e substitua os campos entre colchetes. A saída permanece sujeita à revisão do contador do CEAT.</w:t>
      </w:r>
    </w:p>
    <w:p>
      <w:pPr>
        <w:spacing w:after="20"/>
      </w:pP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ATUE COMO CONTADOR/AUDITOR GOVERNAMENTAL ESPECIALISTA EM DESPESAS MUNICIPAIS COM FESTEJOS JUNINOS NO ESTADO DA BAHIA.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OBJETIVO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Formar e conciliar a população de contratações artísticas e a execução orçamentária e financeira do evento, separando valor contratado, empenhado, liquidado e pago, identificando divergências, classificações alternativas e limitações documentais. A análise deve responder aos quesitos da CEAT com trilha reproduzível e sem completar lacunas.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RECORTE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Município: [INFORMAR]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Evento: [INFORMAR]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Exercício: [INFORMAR]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Período da contratação/apresentação: [DATA INICIAL] a [DATA FINAL]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Data de corte da execução: [INFORMAR]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Unidade/órgão e ação orçamentária: [INFORMAR OU APURAR]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Fontes/destinações: [INFORMAR OU APURAR]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Tolerância monetária da conciliação: R$ [INFORMAR]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REGRA FUNDAMENTAL — NÃO MISTURAR AS BASES DE MEDIÇÃO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1. Contratado/firmado: valor do contrato, inexigibilidade ou instrumento equivalente, incluídos os aditivos válidos.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2. Empenhado bruto: valor dos empenhos emitidos.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3. Anulado: cancelamentos/reduções do empenho.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4. Empenhado líquido: empenhado bruto menos anulações. É o consumo orçamentário na data-base.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5. Liquidado: parcela cujo direito do credor foi verificado.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6. Pago: parcela liquidada e efetivamente paga.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Compare valores do mesmo estágio. Nunca some contratado + empenhado + liquidado + pago. Pagamento já pressupõe liquidação e não constitui nova despesa.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HIERARQUIA E FINALIDADE DAS FONTES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A. Processo administrativo, contrato, aditivos, nota de empenho, liquidação, atesto, ordem de pagamento e comprovante bancário: evidência primária do vínculo, objeto, estágio e valor.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B. Painel Junino MPBA: população declarada de contratações artísticas, valores e apresentações; é fonte de descoberta e triangulação, não prova isolada da execução.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C. Consulta de Despesas/SIGA TCM-BA: fonte transacional para identificar empenhos, credores, classificação, fonte e datas. Se o arquivo trouxer apenas uma coluna genérica “valor”, não a rotule automaticamente como empenho bruto, líquido, liquidado ou pago; determine a semântica pelo relatório, filtro, leiaute e reconciliação.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D. PCMGE056 — relação de processos de pagamento das despesas orçamentárias: fonte preferencial para formar a população analítica de pagamentos, vinculando cada pagamento ao empenho, credor, processo, data e fonte. Confirmar o leiaute e os documentos do processo.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E. PCMGE015 — demonstrativo da despesa orçamentária: controle contábil por ação, fonte, natureza/detalhamento e estágio, com valores do mês e até o mês. Usar como total de controle; não criar uma segunda população nem somá-lo aos registros transacionais.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F. Portal da Transparência municipal e PNCP: fontes corroborativas para contratos, inexigibilidades, documentos e execução; registrar indisponibilidade, paginação e divergências.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G. Tabela de natureza da despesa do TCM-BA vigente no exercício: critério para validar 3.3.90.39.94, 3.3.90.39.99 e outras classificações encontradas.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ENTRADAS MÍNIMAS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1. Exportação/captura do Painel Junino do município.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2. Relação de contratos/inexigibilidades e aditivos.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3. Extrato da Consulta de Despesas ou SIGA para 3.3.90.39.94 e pesquisa complementar dirigida ao 3.3.90.39.99.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4. PCMGE015 da competência de corte.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5. PCMGE056 ou relação equivalente de pagamentos.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6. Documentos primários dos itens materiais e das exceções.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7. LOA/QDD, créditos adicionais e demonstrativos necessários ao teste de dotação.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PROCEDIMENTOS OBRIGATÓRIOS</w:t>
      </w: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1. PRESERVAÇÃO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Registre URL, data/hora, município, exercício, competência, filtros, estágio consultado, quantidade de linhas e total exibido.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Preserve o arquivo bruto e gere cópia de trabalho. Não sobrescreva dados originais.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Atribua ID único a cada arquivo e a cada linha usada na conclusão.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2. PADRONIZAÇÃO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Normalize CPF/CNPJ somente para chave de vínculo, preservando o valor original.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Padronize município, artista, representante/credor, contrato, processo, empenho, datas, ação, natureza, detalhamento e fonte.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Crie as chaves: contrato = município|exercício|contrato/processo|CPF/CNPJ; execução = município|exercício|empenho|processo de pagamento|estágio.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Marque aditivos, reforços, anulações, estornos, pagamentos parcelados e registros sem identificador.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3. FORMAÇÃO DA POPULAÇÃO CONTRATADA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Parta do Painel, dos contratos, das inexigibilidades, do PNCP e do Portal da Transparência.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Deduplicate o mesmo contrato/fornecedor/artista sem apagar os registros de origem.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Some aditivos válidos ao contrato; não trate cada publicação ou parcela como novo contrato.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Separe cachê artístico dos custos acessórios e da infraestrutura do evento.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4. FORMAÇÃO DA POPULAÇÃO EXECUTADA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No 3.3.90.39.94, identifique todos os registros do município, período e unidades/ações relacionadas ao evento; valide zeros, valores residuais e cancelamentos.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No 3.3.90.39.99, não inclua o conjunto do município. Inclua uma linha somente se houver vínculo demonstrável por contrato/processo, CPF/CNPJ, credor, objeto ou ação específica do evento. Registre o motivo da inclusão.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Classifique serviços de palco, som, iluminação, segurança, limpeza, locação, alimentação, hospedagem e outros apoios como “custos acessórios/infraestrutura”, salvo quando o escopo do quesito exigir o custo global. Não os misture ao total de cachês.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Se o arquivo não contiver objeto, processo ou estágio, classifique-o como base limitada e obtenha o dado no SIGA, PCMGE056, Portal ou processo antes de concluir.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e) Calcule empenho líquido = empenhado bruto − anulações. Mantenha liquidado e pago em colunas próprias.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5. CONCILIAÇÃO POR CONTRATAÇÃO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Prioridade do vínculo: contrato/processo exato; CPF/CNPJ; empenho; combinação credor + artista + objeto + data.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Vínculo apenas nominal ou por similaridade deve ser marcado como “proposto” e revisado manualmente.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Admita relação um-para-muitos: um contrato pode ter vários empenhos, liquidações e pagamentos. Agregue as parcelas por estágio, sem duplicar o valor contratado.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Para cada contratação, apresente: valor Painel, valor contratual final, empenhado bruto, anulado, empenhado líquido, liquidado, pago e diferenças entre estágios.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e) Classifique: conciliado; diferença temporal; diferença por anulação/aditivo; diferença de classificação; Painel sem execução; execução sem Painel; vínculo incerto; duplicidade; documentação pendente.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6. CONTROLE COM PCMGE015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Use a mesma competência, órgão/unidade, ação, fonte, elemento e detalhamento da base analítica.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Compare separadamente empenhos do mês, empenhos até o mês, liquidações do mês/até o mês e pagamentos do mês/até o mês.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Não compare um valor mensal com um acumulado nem um valor pago com um valor contratado.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Apure diferença de controle = total analítico do mesmo estágio e recorte − total PCMGE015.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e) Investigue filtros, competência, anulações posteriores, data de atualização, restos a pagar, classificação, unidade e semântica do campo “valor”. Não escolha silenciosamente a fonte que mais se aproxima do Painel.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7. CONTROLE COM PCMGE056 E BANCO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Agregue pagamentos por contrato/empenho e credor.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Identifique pagamentos parcelados, estornos e retenções; não os conte como novos contratos.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Concilie o total do PCMGE056 com “Pagamentos até o mês” do PCMGE015 e, nos itens materiais, com ordem de pagamento e extrato bancário.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d) Se o PCMGE056 não estiver disponível, registre a limitação e use Portal/razão/ordens bancárias como evidência substituta, sem declarar equivalência automática.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8. DOTAÇÃO E DISPONIBILIDADE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a) Por ação, fonte e data: créditos disponíveis = saldo inicial do período + acréscimos − reduções.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b) Disponibilidade antes da contratação = créditos disponíveis − empenho líquido anterior.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c) Margem após contratação = disponibilidade antes − novas obrigações assumidas na data.</w:t>
      </w:r>
    </w:p>
    <w:p>
      <w:pPr>
        <w:keepLines w:val="0"/>
        <w:ind w:left="547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d) Apure caixa e obrigações por fonte na MSC mensal, aplicando ao Ending_Balance da competência selecionada as contas e fórmulas do mapeamento do RGF Anexo 5. Nos meses 01 a 11, classifique o resultado como estimativa gerencial; dezembro ou período 13 permanece a referência do demonstrativo de encerramento.</w:t>
      </w:r>
    </w:p>
    <w:p>
      <w:pPr/>
      <w:r>
        <w:t>e) Inclua em Demais Obrigações Financeiras a CC 8.6.3.2.1.00.00 nas fontes 501/502/503 e as CC 2.1.8.8.0.00.00 e 2.2.8.8.0.00.00 nas fontes extraorçamentárias 860/861/862/869. Não compense insuficiência de uma fonte com superávit de outra nem use recursos vinculados incompatíveis.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9. TRATAMENTO DAS DIVERGÊNCIAS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 xml:space="preserve">   Para cada divergência, informe fonte, ID/linha, valor, estágio, competência, possível causa, evidência confirmatória, limitação e diligência. Divergência não equivale automaticamente a omissão, dano, superfaturamento ou responsabilidade pessoal.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SAÍDA OBRIGATÓRIA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A. Quadro de fontes e recortes, com estágio e semântica de cada coluna monetária.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B. População contratada deduplicada.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C. População de empenhos, liquidações e pagamentos, em tabelas separadas ou em colunas próprias.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D. Conciliação por contratação, com critério e confiança do vínculo.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E. Controle por ação/fonte/detalhamento com PCMGE015.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F. Controle de pagamentos com PCMGE056 e banco.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G. Resumo global e mensal por estágio; nunca apresentar “gasto total” sem nomear o estágio.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H. Relação completa de registros 99 incluídos e excluídos, com justificativa.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I. Teste da dotação e da disponibilidade financeira por fonte na competência e na data de corte.</w:t>
      </w:r>
    </w:p>
    <w:p>
      <w:pPr/>
      <w:r>
        <w:t>J. Exceções, limitações, diligências e resposta específica aos quesitos da CEAT.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K. Conclusão sujeita a revisão humana, indicando população, cobertura e data de corte.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VALIDAÇÕES ANTES DA CONCLUSÃO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1. Os totais foram comparados no mesmo estágio, competência, ação e fonte?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2. O campo genérico “valor” teve sua semântica demonstrada?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3. A população 99 foi filtrada individualmente e não corresponde ao município inteiro?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4. PCMGE015 foi usado como controle, e não somado à base analítica?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5. Pagamentos parcelados e publicações repetidas foram deduplicados?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6. Cada vínculo incerto foi submetido à revisão manual?</w:t>
      </w:r>
    </w:p>
    <w:p>
      <w:pPr>
        <w:keepLines w:val="0"/>
        <w:ind w:left="259" w:hanging="259"/>
      </w:pPr>
      <w:r>
        <w:rPr>
          <w:rFonts w:ascii="Century Gothic" w:hAnsi="Century Gothic"/>
          <w:b w:val="0"/>
          <w:i w:val="0"/>
          <w:color w:val="202020"/>
          <w:sz w:val="19"/>
        </w:rPr>
        <w:t>7. Dotação e caixa foram avaliadas por fonte e na data correta, sem compensação indevida?</w:t>
      </w:r>
    </w:p>
    <w:p>
      <w:pPr/>
      <w:r>
        <w:t>8. A conclusão é proporcional às evidências e explicita as limitações?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REGRA DE CONCLUSÃO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O Painel é uma declaração a confirmar; a Consulta de Despesas é uma base transacional cujo estágio deve ser validado; o PCMGE015 é total de controle; o PCMGE056 e os documentos de pagamento sustentam o valor pago. Não existe uma única fonte suficiente para todos os objetivos. Não invente vínculos, não some estágios e não qualifique uma diferença antes de reconciliar período, estágio, classificação, anulações e documentos.</w:t>
      </w:r>
    </w:p>
    <w:p>
      <w:pPr>
        <w:spacing w:after="20"/>
      </w:pPr>
    </w:p>
    <w:p>
      <w:pPr>
        <w:keepNext/>
        <w:spacing w:before="240" w:after="100"/>
      </w:pPr>
      <w:r>
        <w:rPr>
          <w:rFonts w:ascii="Century Gothic" w:hAnsi="Century Gothic"/>
          <w:b/>
          <w:i w:val="0"/>
          <w:color w:val="07513A"/>
          <w:sz w:val="27"/>
        </w:rPr>
        <w:t>ROTAS OFICIAIS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Painel Junino MPBA: https://paineljunino.mpba.mp.br/transparentometro-municipios/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Consulta de Despesas TCM-BA: https://www.tcm.ba.gov.br/controle-social/consulta-de-despesas/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e-TCM Consulta Pública: https://e.tcm.ba.gov.br/epp/ConsultaPublica/listView.seam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Tabelas Internas de Contabilidade Municipal: https://www.tcm.ba.gov.br/tabelas-internas-contabilidade-municipal/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Lei nº 4.320/1964: https://www.planalto.gov.br/ccivil_03/leis/l4320.htm</w:t>
      </w:r>
    </w:p>
    <w:p>
      <w:pPr>
        <w:keepLines w:val="0"/>
      </w:pPr>
      <w:r>
        <w:rPr>
          <w:rFonts w:ascii="Century Gothic" w:hAnsi="Century Gothic"/>
          <w:b w:val="0"/>
          <w:i w:val="0"/>
          <w:color w:val="202020"/>
          <w:sz w:val="19"/>
        </w:rPr>
        <w:t>Lei Complementar nº 101/2000: https://www.planalto.gov.br/ccivil_03/leis/lcp/lcp101.htm</w:t>
      </w:r>
    </w:p>
    <w:sectPr w:rsidR="00FC693F" w:rsidRPr="0006063C" w:rsidSect="00034616">
      <w:footerReference w:type="default" r:id="rId9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/>
        <w:b w:val="0"/>
        <w:i w:val="0"/>
        <w:color w:val="5F6B66"/>
        <w:sz w:val="16"/>
      </w:rPr>
      <w:t>ELOS · CEAT/MPBA · 17/08/2026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entury Gothic" w:hAnsi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mestre — Auditoria e Conciliação dos Gastos com Festejos Juninos</dc:title>
  <dc:subject>Metodologia adaptada após aplicação e conciliação de bases</dc:subject>
  <dc:creator>Elos Consultoria e Treinamento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