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/>
        <w:jc w:val="center"/>
      </w:pPr>
      <w:r>
        <w:rPr>
          <w:rFonts w:ascii="Century Gothic" w:hAnsi="Century Gothic"/>
          <w:b/>
          <w:i w:val="0"/>
          <w:color w:val="C89620"/>
          <w:sz w:val="20"/>
        </w:rPr>
        <w:t>MÓDULO 1 • CASE 1</w:t>
      </w:r>
    </w:p>
    <w:p>
      <w:pPr>
        <w:pStyle w:val="Title"/>
        <w:jc w:val="center"/>
      </w:pPr>
      <w:r>
        <w:rPr>
          <w:rFonts w:ascii="Century Gothic" w:hAnsi="Century Gothic"/>
          <w:b/>
          <w:i w:val="0"/>
          <w:color w:val="064532"/>
          <w:sz w:val="48"/>
        </w:rPr>
        <w:t>Prompts individuais</w:t>
      </w:r>
    </w:p>
    <w:p>
      <w:pPr>
        <w:jc w:val="center"/>
      </w:pPr>
      <w:r>
        <w:rPr>
          <w:rFonts w:ascii="Century Gothic" w:hAnsi="Century Gothic"/>
          <w:b w:val="0"/>
          <w:i w:val="0"/>
          <w:color w:val="596B65"/>
          <w:sz w:val="24"/>
        </w:rPr>
        <w:t>Contribuições do RPPS não conciliadas</w:t>
      </w:r>
    </w:p>
    <w:p>
      <w:pPr>
        <w:spacing w:before="200"/>
        <w:jc w:val="center"/>
      </w:pPr>
      <w:r>
        <w:rPr>
          <w:rFonts w:ascii="Century Gothic" w:hAnsi="Century Gothic"/>
          <w:b/>
          <w:i w:val="0"/>
          <w:color w:val="0B5D46"/>
          <w:sz w:val="18"/>
        </w:rPr>
        <w:t>Dados didáticos anonimizados • 20 de agosto de 2026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792"/>
            <w:shd w:fill="EAF3EF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r>
              <w:rPr>
                <w:rFonts w:ascii="Century Gothic" w:hAnsi="Century Gothic"/>
                <w:b/>
                <w:i w:val="0"/>
                <w:color w:val="064532"/>
                <w:sz w:val="20"/>
              </w:rPr>
              <w:t xml:space="preserve">Parâmetros obrigatórios: </w:t>
            </w:r>
            <w:r>
              <w:rPr>
                <w:rFonts w:ascii="Century Gothic" w:hAnsi="Century Gothic"/>
                <w:b w:val="0"/>
                <w:i w:val="0"/>
                <w:color w:val="17342C"/>
                <w:sz w:val="20"/>
              </w:rPr>
              <w:t>Cole o inventário de evidências e informe período, entidade, fundo e pergunta de auditoria. Exija referências de arquivo/página/linha e proíba inferências sem suporte.</w:t>
            </w:r>
          </w:p>
        </w:tc>
      </w:tr>
    </w:tbl>
    <w:p>
      <w:pPr>
        <w:spacing w:after="0"/>
      </w:pPr>
    </w:p>
    <w:p>
      <w:pPr>
        <w:pStyle w:val="Heading1"/>
      </w:pPr>
      <w:r>
        <w:t>P1 — Inventário</w:t>
      </w:r>
    </w:p>
    <w:p>
      <w:pPr>
        <w:jc w:val="both"/>
      </w:pPr>
      <w:r>
        <w:t>Classifique os arquivos por entidade, origem, competência e tipo. Não analise arquivo ausente. Saída: tabela com ID, arquivo, período, página/linha, integridade, confiabilidade e lacuna.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Formato mínimo da saída: </w:t>
      </w:r>
      <w:r>
        <w:rPr>
          <w:rFonts w:ascii="Century Gothic" w:hAnsi="Century Gothic"/>
          <w:b w:val="0"/>
          <w:i w:val="0"/>
          <w:color w:val="596B65"/>
          <w:sz w:val="18"/>
        </w:rPr>
        <w:t>conclusão objetiva; tabela de evidências; memória de cálculo; limitações; diligências; texto proposto para o relatório.</w:t>
      </w:r>
    </w:p>
    <w:p>
      <w:pPr>
        <w:pStyle w:val="Heading1"/>
      </w:pPr>
      <w:r>
        <w:t>P2 — Patronal no ente</w:t>
      </w:r>
    </w:p>
    <w:p>
      <w:pPr>
        <w:jc w:val="both"/>
      </w:pPr>
      <w:r>
        <w:t>Para cada competência, compare folha × alíquota com o devido, a despesa 3.1.91.13, a VPD 3.1.2.1.2.xx.xx, o passivo 2.1.1.4.2.xx.xx, guia e banco. Preserve literalmente códigos e títulos encontrados. Saída: conciliação, diferenças e evidências.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Formato mínimo da saída: </w:t>
      </w:r>
      <w:r>
        <w:rPr>
          <w:rFonts w:ascii="Century Gothic" w:hAnsi="Century Gothic"/>
          <w:b w:val="0"/>
          <w:i w:val="0"/>
          <w:color w:val="596B65"/>
          <w:sz w:val="18"/>
        </w:rPr>
        <w:t>conclusão objetiva; tabela de evidências; memória de cálculo; limitações; diligências; texto proposto para o relatório.</w:t>
      </w:r>
    </w:p>
    <w:p>
      <w:pPr>
        <w:pStyle w:val="Heading1"/>
      </w:pPr>
      <w:r>
        <w:t>P3 — Segurados no ente</w:t>
      </w:r>
    </w:p>
    <w:p>
      <w:pPr>
        <w:jc w:val="both"/>
      </w:pPr>
      <w:r>
        <w:t>Reconstrua saldo inicial + retenções/ingressos – pagamentos/repasses ± ajustes = saldo final. Use a conta exatamente como constar no PCASP adotado. Saída: diferenças por competência e lacunas.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Formato mínimo da saída: </w:t>
      </w:r>
      <w:r>
        <w:rPr>
          <w:rFonts w:ascii="Century Gothic" w:hAnsi="Century Gothic"/>
          <w:b w:val="0"/>
          <w:i w:val="0"/>
          <w:color w:val="596B65"/>
          <w:sz w:val="18"/>
        </w:rPr>
        <w:t>conclusão objetiva; tabela de evidências; memória de cálculo; limitações; diligências; texto proposto para o relatório.</w:t>
      </w:r>
    </w:p>
    <w:p>
      <w:pPr>
        <w:pStyle w:val="Heading1"/>
      </w:pPr>
      <w:r>
        <w:t>P4 — Registros no RPPS</w:t>
      </w:r>
    </w:p>
    <w:p>
      <w:pPr>
        <w:jc w:val="both"/>
      </w:pPr>
      <w:r>
        <w:t>Concilie 1.1.3.6.2.01.01 × 4.2.1.1.2.01.01 e 1.1.3.6.2.01.02 × 4.2.1.1.1.02.xx com receita, banco e baixa. Saída: tabela por competência e natureza.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Formato mínimo da saída: </w:t>
      </w:r>
      <w:r>
        <w:rPr>
          <w:rFonts w:ascii="Century Gothic" w:hAnsi="Century Gothic"/>
          <w:b w:val="0"/>
          <w:i w:val="0"/>
          <w:color w:val="596B65"/>
          <w:sz w:val="18"/>
        </w:rPr>
        <w:t>conclusão objetiva; tabela de evidências; memória de cálculo; limitações; diligências; texto proposto para o relatório.</w:t>
      </w:r>
    </w:p>
    <w:p>
      <w:pPr>
        <w:pStyle w:val="Heading1"/>
      </w:pPr>
      <w:r>
        <w:t>P5 — Parcelamentos</w:t>
      </w:r>
    </w:p>
    <w:p>
      <w:pPr>
        <w:jc w:val="both"/>
      </w:pPr>
      <w:r>
        <w:t>Compare lei, termo, CADPREV, memória, cronograma, razão e pagamentos. Separe principal, multas, juros e atualização. Saída: saldo original, pago, vencido, a vencer e divergências.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Formato mínimo da saída: </w:t>
      </w:r>
      <w:r>
        <w:rPr>
          <w:rFonts w:ascii="Century Gothic" w:hAnsi="Century Gothic"/>
          <w:b w:val="0"/>
          <w:i w:val="0"/>
          <w:color w:val="596B65"/>
          <w:sz w:val="18"/>
        </w:rPr>
        <w:t>conclusão objetiva; tabela de evidências; memória de cálculo; limitações; diligências; texto proposto para o relatório.</w:t>
      </w:r>
    </w:p>
    <w:p>
      <w:pPr>
        <w:pStyle w:val="Heading1"/>
      </w:pPr>
      <w:r>
        <w:t>P6 — Achados</w:t>
      </w:r>
    </w:p>
    <w:p>
      <w:pPr>
        <w:jc w:val="both"/>
      </w:pPr>
      <w:r>
        <w:t>Com base apenas nos PTs revisados, redija critério, condição, evidência, causa confirmada/hipótese, efeito/risco, valor e recomendação. Se faltar prova, marque inconclusivo.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Formato mínimo da saída: </w:t>
      </w:r>
      <w:r>
        <w:rPr>
          <w:rFonts w:ascii="Century Gothic" w:hAnsi="Century Gothic"/>
          <w:b w:val="0"/>
          <w:i w:val="0"/>
          <w:color w:val="596B65"/>
          <w:sz w:val="18"/>
        </w:rPr>
        <w:t>conclusão objetiva; tabela de evidências; memória de cálculo; limitações; diligências; texto proposto para o relatório.</w:t>
      </w:r>
    </w:p>
    <w:p>
      <w:pPr>
        <w:pStyle w:val="Heading1"/>
      </w:pPr>
      <w:r>
        <w:t>P7 — Relatório</w:t>
      </w:r>
    </w:p>
    <w:p>
      <w:pPr>
        <w:jc w:val="both"/>
      </w:pPr>
      <w:r>
        <w:t>Produza minuta técnica com objetivo, escopo, procedimentos, limitações, achados, contraditório e conclusão. Não faça qualificação jurídica automática e não invente fatos.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Formato mínimo da saída: </w:t>
      </w:r>
      <w:r>
        <w:rPr>
          <w:rFonts w:ascii="Century Gothic" w:hAnsi="Century Gothic"/>
          <w:b w:val="0"/>
          <w:i w:val="0"/>
          <w:color w:val="596B65"/>
          <w:sz w:val="18"/>
        </w:rPr>
        <w:t>conclusão objetiva; tabela de evidências; memória de cálculo; limitações; diligências; texto proposto para o relatório.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792"/>
            <w:shd w:fill="EAF3EF"/>
            <w:tcMar>
              <w:top w:w="140" w:type="dxa"/>
              <w:start w:w="160" w:type="dxa"/>
              <w:bottom w:w="140" w:type="dxa"/>
              <w:end w:w="160" w:type="dxa"/>
            </w:tcMar>
          </w:tcPr>
          <w:p>
            <w:r>
              <w:rPr>
                <w:rFonts w:ascii="Century Gothic" w:hAnsi="Century Gothic"/>
                <w:b/>
                <w:i w:val="0"/>
                <w:color w:val="064532"/>
                <w:sz w:val="20"/>
              </w:rPr>
              <w:t xml:space="preserve">Revisão adversarial: </w:t>
            </w:r>
            <w:r>
              <w:rPr>
                <w:rFonts w:ascii="Century Gothic" w:hAnsi="Century Gothic"/>
                <w:b w:val="0"/>
                <w:i w:val="0"/>
                <w:color w:val="17342C"/>
                <w:sz w:val="20"/>
              </w:rPr>
              <w:t>Antes de aceitar a resposta, peça à IA para listar toda afirmação sem citação, todo cálculo não reproduzível, toda conta cujo título foi abreviado e toda conclusão que excede a evidência.</w:t>
            </w:r>
          </w:p>
        </w:tc>
      </w:tr>
    </w:tbl>
    <w:p>
      <w:pPr>
        <w:spacing w:after="0"/>
      </w:pPr>
    </w:p>
    <w:p>
      <w:pPr>
        <w:pStyle w:val="Heading1"/>
      </w:pPr>
      <w:r>
        <w:t>Fontes oficiais de validação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MCASP — STN: </w:t>
      </w:r>
      <w:r>
        <w:rPr>
          <w:rFonts w:ascii="Century Gothic" w:hAnsi="Century Gothic"/>
          <w:b w:val="0"/>
          <w:i w:val="0"/>
          <w:color w:val="596B65"/>
          <w:sz w:val="18"/>
        </w:rPr>
        <w:t>https://www.gov.br/tesouronacional/pt-br/contabilidade-e-custos/manuais/manual-de-contabilidade-aplicada-ao-setor-publico-mcasp-1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Portaria MTP nº 1.467/2022: </w:t>
      </w:r>
      <w:r>
        <w:rPr>
          <w:rFonts w:ascii="Century Gothic" w:hAnsi="Century Gothic"/>
          <w:b w:val="0"/>
          <w:i w:val="0"/>
          <w:color w:val="596B65"/>
          <w:sz w:val="18"/>
        </w:rPr>
        <w:t>https://www.gov.br/previdencia/pt-br/assuntos/rpps/legislacao-dos-rpps/portarias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e-TCM/BA: </w:t>
      </w:r>
      <w:r>
        <w:rPr>
          <w:rFonts w:ascii="Century Gothic" w:hAnsi="Century Gothic"/>
          <w:b w:val="0"/>
          <w:i w:val="0"/>
          <w:color w:val="596B65"/>
          <w:sz w:val="18"/>
        </w:rPr>
        <w:t>https://e.tcm.ba.gov.br/epp/ConsultaPublica/listView.seam</w:t>
      </w:r>
    </w:p>
    <w:p>
      <w:r>
        <w:rPr>
          <w:rFonts w:ascii="Century Gothic" w:hAnsi="Century Gothic"/>
          <w:b/>
          <w:i w:val="0"/>
          <w:color w:val="064532"/>
          <w:sz w:val="18"/>
        </w:rPr>
        <w:t xml:space="preserve">SICONFI: </w:t>
      </w:r>
      <w:r>
        <w:rPr>
          <w:rFonts w:ascii="Century Gothic" w:hAnsi="Century Gothic"/>
          <w:b w:val="0"/>
          <w:i w:val="0"/>
          <w:color w:val="596B65"/>
          <w:sz w:val="18"/>
        </w:rPr>
        <w:t>https://siconfi.tesouro.gov.br/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52" w:right="1224" w:bottom="1152" w:left="1224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entury Gothic" w:hAnsi="Century Gothic"/>
        <w:b w:val="0"/>
        <w:i w:val="0"/>
        <w:color w:val="596B65"/>
        <w:sz w:val="16"/>
      </w:rPr>
      <w:t>Módulo 1 • Uso didático • Revisão humana obrigatória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685800" cy="399985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elos-ofici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99985"/>
                  </a:xfrm>
                  <a:prstGeom prst="rect"/>
                </pic:spPr>
              </pic:pic>
            </a:graphicData>
          </a:graphic>
        </wp:inline>
      </w:drawing>
    </w:r>
    <w:r>
      <w:rPr>
        <w:rFonts w:ascii="Century Gothic" w:hAnsi="Century Gothic"/>
        <w:b/>
        <w:i w:val="0"/>
        <w:color w:val="064532"/>
        <w:sz w:val="16"/>
      </w:rPr>
      <w:t xml:space="preserve">   ELOS • ACADEMIA DE AUDITORIA PÚBLICA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entury Gothic" w:hAnsi="Century Gothic"/>
      <w:color w:val="17342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entury Gothic" w:hAnsi="Century Gothic"/>
      <w:b/>
      <w:bCs/>
      <w:color w:val="06453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entury Gothic" w:hAnsi="Century Gothic"/>
      <w:b/>
      <w:bCs/>
      <w:color w:val="06453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entury Gothic" w:hAnsi="Century Gothic"/>
      <w:b/>
      <w:bCs/>
      <w:color w:val="0B5D46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entury Gothic" w:hAnsi="Century Gothic"/>
      <w:b/>
      <w:color w:val="064532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ind w:left="540" w:hanging="271"/>
      <w:contextualSpacing/>
    </w:pPr>
    <w:rPr>
      <w:rFonts w:ascii="Century Gothic" w:hAnsi="Century Gothic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ind w:left="540" w:hanging="271"/>
      <w:contextualSpacing/>
    </w:pPr>
    <w:rPr>
      <w:rFonts w:ascii="Century Gothic" w:hAnsi="Century Gothic"/>
      <w:sz w:val="21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