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/>
        <w:jc w:val="center"/>
      </w:pPr>
      <w:r>
        <w:rPr>
          <w:rFonts w:ascii="Century Gothic" w:hAnsi="Century Gothic"/>
          <w:b/>
          <w:i w:val="0"/>
          <w:color w:val="C89620"/>
          <w:sz w:val="20"/>
        </w:rPr>
        <w:t>MÓDULO 1 • CASE 3</w:t>
      </w:r>
    </w:p>
    <w:p>
      <w:pPr>
        <w:pStyle w:val="Title"/>
        <w:jc w:val="center"/>
      </w:pPr>
      <w:r>
        <w:rPr>
          <w:rFonts w:ascii="Century Gothic" w:hAnsi="Century Gothic"/>
          <w:b/>
          <w:i w:val="0"/>
          <w:color w:val="064532"/>
          <w:sz w:val="48"/>
        </w:rPr>
        <w:t>Prompts individuais</w:t>
      </w:r>
    </w:p>
    <w:p>
      <w:pPr>
        <w:jc w:val="center"/>
      </w:pPr>
      <w:r>
        <w:rPr>
          <w:rFonts w:ascii="Century Gothic" w:hAnsi="Century Gothic"/>
          <w:b w:val="0"/>
          <w:i w:val="0"/>
          <w:color w:val="596B65"/>
          <w:sz w:val="24"/>
        </w:rPr>
        <w:t>Provisão atuarial e segregação de massas</w:t>
      </w:r>
    </w:p>
    <w:p>
      <w:pPr>
        <w:spacing w:before="200"/>
        <w:jc w:val="center"/>
      </w:pPr>
      <w:r>
        <w:rPr>
          <w:rFonts w:ascii="Century Gothic" w:hAnsi="Century Gothic"/>
          <w:b/>
          <w:i w:val="0"/>
          <w:color w:val="0B5D46"/>
          <w:sz w:val="18"/>
        </w:rPr>
        <w:t>Dados didáticos anonimizados • 20 de agosto de 2026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792"/>
            <w:shd w:fill="EAF3EF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r>
              <w:rPr>
                <w:rFonts w:ascii="Century Gothic" w:hAnsi="Century Gothic"/>
                <w:b/>
                <w:i w:val="0"/>
                <w:color w:val="064532"/>
                <w:sz w:val="20"/>
              </w:rPr>
              <w:t xml:space="preserve">Parâmetros obrigatórios: </w:t>
            </w:r>
            <w:r>
              <w:rPr>
                <w:rFonts w:ascii="Century Gothic" w:hAnsi="Century Gothic"/>
                <w:b w:val="0"/>
                <w:i w:val="0"/>
                <w:color w:val="17342C"/>
                <w:sz w:val="20"/>
              </w:rPr>
              <w:t>Cole o inventário de evidências e informe período, entidade, fundo e pergunta de auditoria. Exija referências de arquivo/página/linha e proíba inferências sem suporte.</w:t>
            </w:r>
          </w:p>
        </w:tc>
      </w:tr>
    </w:tbl>
    <w:p>
      <w:pPr>
        <w:spacing w:after="0"/>
      </w:pPr>
    </w:p>
    <w:p>
      <w:pPr>
        <w:pStyle w:val="Heading1"/>
      </w:pPr>
      <w:r>
        <w:t>P1 — Inventário</w:t>
      </w:r>
    </w:p>
    <w:p>
      <w:pPr>
        <w:jc w:val="both"/>
      </w:pPr>
      <w:r>
        <w:t>Classifique avaliação, DRAA, bases, DCASP, razão, notas, legislação, aportes e extratos por data-base e fundo. Saída: matriz de evidências e lacunas.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P2 — Qualidade da avaliação</w:t>
      </w:r>
    </w:p>
    <w:p>
      <w:pPr>
        <w:jc w:val="both"/>
      </w:pPr>
      <w:r>
        <w:t>Teste data-base, assinatura, habilitação, base, método, premissas, COMPREV, ativos, fluxos e sensibilidade. Cite página/linha. Não recalcular sem parâmetros suficientes.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P3 — Provisões</w:t>
      </w:r>
    </w:p>
    <w:p>
      <w:pPr>
        <w:jc w:val="both"/>
      </w:pPr>
      <w:r>
        <w:t>Monte ponte avaliação × razão × BP × DVP × notas, por fundo. Preserve códigos/títulos do PCASP apresentado. Saída: saldos, movimentos, diferenças e explicações suportadas.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P4 — Segregação</w:t>
      </w:r>
    </w:p>
    <w:p>
      <w:pPr>
        <w:jc w:val="both"/>
      </w:pPr>
      <w:r>
        <w:t>Compare lei, data de corte, cadastro, folhas, fontes, contas bancárias, ativos, passivos e notas entre Capitalização e Repartição. Saída: matriz de conformidade e exceções.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P5 — Aportes</w:t>
      </w:r>
    </w:p>
    <w:p>
      <w:pPr>
        <w:jc w:val="both"/>
      </w:pPr>
      <w:r>
        <w:t>Confronte plano vigente, valor programado, empenhado, liquidado, pago e ingresso no RPPS. Saída: diferença e atraso por competência, sem misturar déficit financeiro e atuarial.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P6 — Risco e sensibilidade</w:t>
      </w:r>
    </w:p>
    <w:p>
      <w:pPr>
        <w:jc w:val="both"/>
      </w:pPr>
      <w:r>
        <w:t>Calcule cobertura, liquidez, fluxo, concentração e cenários informados. Diferencie risco atuarial, insuficiência financeira e limitação documental.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P7 — Relatório</w:t>
      </w:r>
    </w:p>
    <w:p>
      <w:pPr>
        <w:jc w:val="both"/>
      </w:pPr>
      <w:r>
        <w:t>Produza minuta técnica com objetivo, escopo, procedimentos, limitações, achados, contraditório e conclusão. Não conclua insolvência apenas pela existência de déficit atuarial.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792"/>
            <w:shd w:fill="EAF3EF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r>
              <w:rPr>
                <w:rFonts w:ascii="Century Gothic" w:hAnsi="Century Gothic"/>
                <w:b/>
                <w:i w:val="0"/>
                <w:color w:val="064532"/>
                <w:sz w:val="20"/>
              </w:rPr>
              <w:t xml:space="preserve">Revisão adversarial: </w:t>
            </w:r>
            <w:r>
              <w:rPr>
                <w:rFonts w:ascii="Century Gothic" w:hAnsi="Century Gothic"/>
                <w:b w:val="0"/>
                <w:i w:val="0"/>
                <w:color w:val="17342C"/>
                <w:sz w:val="20"/>
              </w:rPr>
              <w:t>Antes de aceitar a resposta, peça à IA para listar toda afirmação sem citação, todo cálculo não reproduzível, toda conta cujo título foi abreviado e toda conclusão que excede a evidência.</w:t>
            </w:r>
          </w:p>
        </w:tc>
      </w:tr>
    </w:tbl>
    <w:p>
      <w:pPr>
        <w:spacing w:after="0"/>
      </w:pPr>
    </w:p>
    <w:p>
      <w:pPr>
        <w:pStyle w:val="Heading1"/>
      </w:pPr>
      <w:r>
        <w:t>Fontes oficiais de validação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MCASP — STN: </w:t>
      </w:r>
      <w:r>
        <w:rPr>
          <w:rFonts w:ascii="Century Gothic" w:hAnsi="Century Gothic"/>
          <w:b w:val="0"/>
          <w:i w:val="0"/>
          <w:color w:val="596B65"/>
          <w:sz w:val="18"/>
        </w:rPr>
        <w:t>https://www.gov.br/tesouronacional/pt-br/contabilidade-e-custos/manuais/manual-de-contabilidade-aplicada-ao-setor-publico-mcasp-1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Portaria MTP nº 1.467/2022: </w:t>
      </w:r>
      <w:r>
        <w:rPr>
          <w:rFonts w:ascii="Century Gothic" w:hAnsi="Century Gothic"/>
          <w:b w:val="0"/>
          <w:i w:val="0"/>
          <w:color w:val="596B65"/>
          <w:sz w:val="18"/>
        </w:rPr>
        <w:t>https://www.gov.br/previdencia/pt-br/assuntos/rpps/legislacao-dos-rpps/portarias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e-TCM/BA: </w:t>
      </w:r>
      <w:r>
        <w:rPr>
          <w:rFonts w:ascii="Century Gothic" w:hAnsi="Century Gothic"/>
          <w:b w:val="0"/>
          <w:i w:val="0"/>
          <w:color w:val="596B65"/>
          <w:sz w:val="18"/>
        </w:rPr>
        <w:t>https://e.tcm.ba.gov.br/epp/ConsultaPublica/listView.seam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SICONFI: </w:t>
      </w:r>
      <w:r>
        <w:rPr>
          <w:rFonts w:ascii="Century Gothic" w:hAnsi="Century Gothic"/>
          <w:b w:val="0"/>
          <w:i w:val="0"/>
          <w:color w:val="596B65"/>
          <w:sz w:val="18"/>
        </w:rPr>
        <w:t>https://siconfi.tesouro.gov.br/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152" w:left="1224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entury Gothic" w:hAnsi="Century Gothic"/>
        <w:b w:val="0"/>
        <w:i w:val="0"/>
        <w:color w:val="596B65"/>
        <w:sz w:val="16"/>
      </w:rPr>
      <w:t>Módulo 1 • Uso didático • Revisão humana obrigatória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685800" cy="399985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elos-ofici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99985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Century Gothic" w:hAnsi="Century Gothic"/>
        <w:b/>
        <w:i w:val="0"/>
        <w:color w:val="064532"/>
        <w:sz w:val="16"/>
      </w:rPr>
      <w:t xml:space="preserve">   ELOS • ACADEMIA DE AUDITORIA PÚBLICA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entury Gothic" w:hAnsi="Century Gothic"/>
      <w:color w:val="17342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entury Gothic" w:hAnsi="Century Gothic"/>
      <w:b/>
      <w:bCs/>
      <w:color w:val="0645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entury Gothic" w:hAnsi="Century Gothic"/>
      <w:b/>
      <w:bCs/>
      <w:color w:val="06453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entury Gothic" w:hAnsi="Century Gothic"/>
      <w:b/>
      <w:bCs/>
      <w:color w:val="0B5D46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entury Gothic" w:hAnsi="Century Gothic"/>
      <w:b/>
      <w:color w:val="06453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entury Gothic" w:hAnsi="Century Gothi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entury Gothic" w:hAnsi="Century Gothic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