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80"/>
      </w:pPr>
      <w:r>
        <w:drawing>
          <wp:inline xmlns:a="http://schemas.openxmlformats.org/drawingml/2006/main" xmlns:pic="http://schemas.openxmlformats.org/drawingml/2006/picture">
            <wp:extent cx="1371600" cy="799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elos-ofici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99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rFonts w:ascii="Century Gothic" w:hAnsi="Century Gothic" w:eastAsia="Century Gothic"/>
          <w:b/>
          <w:i w:val="0"/>
          <w:color w:val="064532"/>
          <w:sz w:val="44"/>
        </w:rPr>
        <w:t>RELATÓRIO TÉCNICO CONTÁBIL — MODELO</w:t>
      </w:r>
    </w:p>
    <w:p>
      <w:pPr>
        <w:spacing w:after="260"/>
      </w:pPr>
      <w:r>
        <w:rPr>
          <w:rFonts w:ascii="Century Gothic" w:hAnsi="Century Gothic" w:eastAsia="Century Gothic"/>
          <w:b w:val="0"/>
          <w:i w:val="0"/>
          <w:color w:val="0B5D46"/>
          <w:sz w:val="24"/>
        </w:rPr>
        <w:t>Case 2 • Respostas aos quesitos sobre o RPPS municipal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5"/>
        <w:gridCol w:w="3235"/>
        <w:gridCol w:w="3235"/>
      </w:tblGrid>
      <w:tr>
        <w:trPr>
          <w:tblHeader w:val="true"/>
        </w:trP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Processo-base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Objeto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Inquérito Civil IDEA nº 186.9.432961/2022</w:t>
            </w:r>
          </w:p>
        </w:tc>
        <w:tc>
          <w:tcPr>
            <w:tcW w:type="dxa" w:w="40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RPPS municipal — contribuições, aportes, DIPR e atuária</w:t>
            </w:r>
          </w:p>
        </w:tc>
        <w:tc>
          <w:tcPr>
            <w:tcW w:type="dxa" w:w="244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6"/>
              </w:rPr>
              <w:t>Minuta didática — preencher e revisar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88"/>
      </w:tblGrid>
      <w:tr>
        <w:tc>
          <w:tcPr>
            <w:tcW w:type="dxa" w:w="9706"/>
            <w:shd w:fill="FBEAEA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after="60"/>
            </w:pPr>
            <w:r>
              <w:rPr>
                <w:rFonts w:ascii="Century Gothic" w:hAnsi="Century Gothic" w:eastAsia="Century Gothic"/>
                <w:b/>
                <w:i w:val="0"/>
                <w:color w:val="9B1C1C"/>
                <w:sz w:val="20"/>
              </w:rPr>
              <w:t>Advertência</w:t>
            </w:r>
          </w:p>
          <w:p>
            <w:pPr>
              <w:spacing w:after="0" w:line="269" w:lineRule="auto"/>
              <w:jc w:val="both"/>
            </w:pPr>
            <w:r>
              <w:rPr>
                <w:rFonts w:ascii="Century Gothic" w:hAnsi="Century Gothic" w:eastAsia="Century Gothic"/>
                <w:b w:val="0"/>
                <w:i w:val="0"/>
                <w:color w:val="9B1C1C"/>
                <w:sz w:val="18"/>
              </w:rPr>
              <w:t>Esta minuta contém respostas preliminares baseadas nos documentos fornecidos para treinamento. Não é manifestação oficial do MP-BA nem conclusão do CEAT. Valores assinalados como referência devem ser validados nos papéis de trabalho antes de emissão.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1. Identificação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53"/>
        <w:gridCol w:w="4853"/>
      </w:tblGrid>
      <w:tr>
        <w:trPr>
          <w:tblHeader w:val="true"/>
        </w:trP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Campo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Informação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Procedimento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Inquérito Civil IDEA nº 186.9.432961/2022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Unidade gestora do RPPS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FUNTAP — Fundo de Previdência dos Servidores Públicos do Município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Ente patrocinador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Município de Tapiramutá/BA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Período sugerido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Março/2020 a dezembro/2025; ênfase em 2021–2023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Data-base dos encargos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[PREENCHER]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Equipe/revisão</w:t>
            </w:r>
          </w:p>
        </w:tc>
        <w:tc>
          <w:tcPr>
            <w:tcW w:type="dxa" w:w="66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[PREENCHER]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2. Objeto, escopo e metodologia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O trabalho tem por objeto responder aos dez quesitos formulados no despacho ID MP 30634392. A metodologia combina inspeção documental, recálculo, conciliação entre folha/DIPR/contabilidade/bancos, confirmação em sistemas oficiais, análise de demonstrações, revisão de avaliação atuarial e avaliação da suficiência da evidência.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A asseguração é limitada à documentação efetivamente catalogada. Quando a cadeia de evidência não permite conclusão, a resposta é classificada como “inconclusiva” e acompanhada da diligência necessária. A qualificação jurídica de condutas não integra o escopo contábil.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3. Sumário executivo preliminar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Q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Resposta preliminar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Grau de suporte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Ação antes de concluir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1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Há indícios relevantes de inadimplemento patronal.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Parcial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Fechar população mensal e reconciliar bancos.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2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Há indícios de retenções não integralmente repassadas.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Parcial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Roll-forward folha × razão × Anexo 17 × banco.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3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Há indícios de ausência/insuficiência de aportes.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Parcial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Validar plano vigente e pagamentos por competência.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4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A formalização no CADPREV não foi demonstrada.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Moderado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Obter consulta atual e termo/recibos.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5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Foram identificadas inconsistências e possíveis lacunas DIPR.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Moderado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Conferir XML, recibos e todas as competências.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6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As avaliações apontam déficit atuarial expressivo.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Moderado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Validar relatório e data-base; avaliar implementação do plano.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7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Não quantificável com segurança sem memória validada.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Insuficiente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Definir principal e parâmetros de atualização.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8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Risco elevado, mas insolvência imediata não está demonstrada.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Parcial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Obter fluxo, liquidez, folha de benefícios e carteira.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9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Documentação insuficiente para conclusão integral.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Forte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Cumprir requisição documental.</w:t>
            </w:r>
          </w:p>
        </w:tc>
      </w:tr>
      <w:tr>
        <w:tc>
          <w:tcPr>
            <w:tcW w:type="dxa" w:w="4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10</w:t>
            </w:r>
          </w:p>
        </w:tc>
        <w:tc>
          <w:tcPr>
            <w:tcW w:type="dxa" w:w="37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Há alertas adicionais de governança e declarações.</w:t>
            </w:r>
          </w:p>
        </w:tc>
        <w:tc>
          <w:tcPr>
            <w:tcW w:type="dxa" w:w="122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Parcial</w:t>
            </w:r>
          </w:p>
        </w:tc>
        <w:tc>
          <w:tcPr>
            <w:tcW w:type="dxa" w:w="38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Aprofundar GFIP/eSocial, conselhos e controles.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4. Respostas aos quesitos</w:t>
      </w: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1 — Contribuições patronais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Parcialmente comprovado. O despacho registra R$ 2.991.915,03 de contribuições patronais não repassadas em 2021, 2022 e janeiro a julho de 2023. Relatórios DIPR constantes dos autos exibem diferenças por competência, porém o montante final deve ser fechado mediante recálculo da folha e conciliação com guias, registros da despesa e créditos bancários.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Concluir PT-01; completar meses ausentes; verificar pagamentos posteriores, retificações e alíquotas vigentes.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2 — Contribuições dos segurados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Há indícios, mas a quantificação final é inconclusiva. Os autos fazem referência a R$ 409.031,01 para maio a julho de 2023; o documento-resumo menciona saldo de R$ 802.036,41 em 31/12/2023. Esses números não são necessariamente da mesma natureza e não podem ser somados sem reconciliação.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Executar PT-02 e provar o saldo: saldo inicial + retenções – repasses – ajustes = saldo final, por conta e competência.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3 — Aportes suplementares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Há indícios de inadimplemento do plano de aportes. Para 2023, o processo informa R$ 168.551,63 mensais. A hipótese de doze meses sem pagamento corresponderia a R$ 2.022.619,56 nominal, mas depende da vigência integral do plano e da confirmação de inexistência de pagamentos.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Transcrever o Decreto nº 88/2018 e alterações; confrontar PT-03 com empenho, pagamento e extrato do FUNTAP.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4 — Parcelamento/CADPREV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A formalização não está demonstrada. Os autos indicam que a Lei nº 200/2022 autorizou o parcelamento, mas que não houve registro/termo no CADPREV. Tecnicamente, a autorização legal isolada não cria cronograma comprovado nem regulariza, por si, os débitos.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Obter consulta CADPREV na data do trabalho, termo assinado, rubricas abrangidas, consolidação, parcelas e comprovantes. Consequências jurídicas devem ser validadas pela assessoria competente.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5 — DIPR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Não regulares no conjunto examinado. Relatórios “DIPR — Consistência e Caráter Contributivo” apontam diferenças entre contribuição devida e repassada; o processo também menciona omissões declarativas. A conclusão deve abranger todos os bimestres e eventuais retificações.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Reconciliar PT-05 com XML/recibo, folha, alíquota, banco, DAIR, DRAA, contabilidade e prestação de contas.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6 — Equilíbrio atuarial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Há déficit atuarial expressivo. A avaliação de base 2022 constante dos autos informa ativos de R$ 31.712.251,58, COMPREV de R$ 13.122.381,32 e provisões de R$ 167.759.767,05, compatíveis com déficit aproximado de R$ 122.925.134,15. O documento-resumo cita déficit de R$ 124.329.822,04 na base seguinte.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Validar equação, data-base, premissas, cadastro e relatório assinado; verificar se o plano de amortização recomendado foi implementado.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7 — Dano e atualização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Inconclusivo quanto ao montante atualizado. O principal deve ser comprovado por competência. Correção, juros e multa dependem de fundamento, termo inicial e parâmetros vigentes. O déficit atuarial não integra automaticamente o dano e uma perda financeira não pode duplicar encargos.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Preencher PT-07 com data-base única, fonte do índice e taxas; emitir cenários separados e revisão jurídica dos critérios.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8 — Solvência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Há risco elevado, em razão do déficit, da inadimplência indicada e da não implementação do custeio suplementar. Isso não prova insolvência imediata. Solvência exige examinar liquidez, fluxo de benefícios, ativos realizáveis, perfil atuarial e tendência.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Preencher PT-08 com fluxo mensal/anual, folha de benefícios, carteira, disponibilidade, cobertura e projeções.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9 — Suficiência documental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Não. O processo contém múltiplas peças relevantes, mas não apresenta, de forma integrada e completa, toda a população mensal necessária para recálculo e confirmação independente.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Requisitar os documentos listados no item 5 do roteiro; catalogar origem, competência, assinatura, integridade e cobertura.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200" w:after="120"/>
      </w:pPr>
      <w:r>
        <w:rPr>
          <w:rFonts w:ascii="Century Gothic" w:hAnsi="Century Gothic" w:eastAsia="Century Gothic"/>
          <w:b/>
          <w:i w:val="0"/>
          <w:color w:val="064532"/>
          <w:sz w:val="25"/>
        </w:rPr>
        <w:t>Quesito 10 — Outros achados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19"/>
        </w:rPr>
        <w:t>Achados potenciais adicionais: omissões em declarações previdenciárias; divergências entre DIPR, folha e contabilidade; fragilidade na governança do plano de amortização; necessidade de testar reconhecimento de passivos, atuação dos conselhos, CRP, COMPREV e continuidade dos controles.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>Diligência/fechamento:</w:t>
      </w:r>
      <w:r>
        <w:rPr>
          <w:rFonts w:ascii="Century Gothic" w:hAnsi="Century Gothic" w:eastAsia="Century Gothic"/>
          <w:b w:val="0"/>
          <w:i w:val="0"/>
          <w:color w:val="17342C"/>
          <w:sz w:val="18"/>
        </w:rPr>
        <w:t xml:space="preserve"> Abrir achado somente após evidência suficiente; registrar critério, condição, causa, efeito/risco e recomendação.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26"/>
        <w:gridCol w:w="2426"/>
        <w:gridCol w:w="2426"/>
        <w:gridCol w:w="2426"/>
      </w:tblGrid>
      <w:tr>
        <w:trPr>
          <w:tblHeader w:val="true"/>
        </w:trP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Evidência-chave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Referência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Resultado do PT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Revisão</w:t>
            </w:r>
          </w:p>
        </w:tc>
      </w:tr>
      <w:tr>
        <w:tc>
          <w:tcPr>
            <w:tcW w:type="dxa" w:w="230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35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[arquivo • página • ID • competência]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[PREENCHER]</w:t>
            </w:r>
          </w:p>
        </w:tc>
        <w:tc>
          <w:tcPr>
            <w:tcW w:type="dxa" w:w="136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5"/>
              </w:rPr>
              <w:t>☐ preparado  ☐ revisado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5. Matriz de achados — modelo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18"/>
        <w:gridCol w:w="1618"/>
        <w:gridCol w:w="1618"/>
        <w:gridCol w:w="1618"/>
        <w:gridCol w:w="1618"/>
        <w:gridCol w:w="1618"/>
      </w:tblGrid>
      <w:tr>
        <w:trPr>
          <w:tblHeader w:val="true"/>
        </w:trPr>
        <w:tc>
          <w:tcPr>
            <w:tcW w:type="dxa" w:w="7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Ref.</w:t>
            </w:r>
          </w:p>
        </w:tc>
        <w:tc>
          <w:tcPr>
            <w:tcW w:type="dxa" w:w="15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Critério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Condição</w:t>
            </w:r>
          </w:p>
        </w:tc>
        <w:tc>
          <w:tcPr>
            <w:tcW w:type="dxa" w:w="14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Causa</w:t>
            </w:r>
          </w:p>
        </w:tc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Efeito/risco</w:t>
            </w:r>
          </w:p>
        </w:tc>
        <w:tc>
          <w:tcPr>
            <w:tcW w:type="dxa" w:w="19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Recomendação</w:t>
            </w:r>
          </w:p>
        </w:tc>
      </w:tr>
      <w:tr>
        <w:tc>
          <w:tcPr>
            <w:tcW w:type="dxa" w:w="7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A-01</w:t>
            </w:r>
          </w:p>
        </w:tc>
        <w:tc>
          <w:tcPr>
            <w:tcW w:type="dxa" w:w="15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[norma e artigo]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[fato comprovado]</w:t>
            </w:r>
          </w:p>
        </w:tc>
        <w:tc>
          <w:tcPr>
            <w:tcW w:type="dxa" w:w="14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[causa validada]</w:t>
            </w:r>
          </w:p>
        </w:tc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[efeito mensurável]</w:t>
            </w:r>
          </w:p>
        </w:tc>
        <w:tc>
          <w:tcPr>
            <w:tcW w:type="dxa" w:w="19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[ação, responsável e prazo]</w:t>
            </w:r>
          </w:p>
        </w:tc>
      </w:tr>
      <w:tr>
        <w:tc>
          <w:tcPr>
            <w:tcW w:type="dxa" w:w="72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A-02</w:t>
            </w:r>
          </w:p>
        </w:tc>
        <w:tc>
          <w:tcPr>
            <w:tcW w:type="dxa" w:w="158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[norma e artigo]</w:t>
            </w:r>
          </w:p>
        </w:tc>
        <w:tc>
          <w:tcPr>
            <w:tcW w:type="dxa" w:w="208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[fato comprovado]</w:t>
            </w:r>
          </w:p>
        </w:tc>
        <w:tc>
          <w:tcPr>
            <w:tcW w:type="dxa" w:w="14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[causa validada]</w:t>
            </w:r>
          </w:p>
        </w:tc>
        <w:tc>
          <w:tcPr>
            <w:tcW w:type="dxa" w:w="18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[efeito mensurável]</w:t>
            </w:r>
          </w:p>
        </w:tc>
        <w:tc>
          <w:tcPr>
            <w:tcW w:type="dxa" w:w="1944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8FAF9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4"/>
              </w:rPr>
              <w:t>[ação, responsável e prazo]</w:t>
            </w:r>
          </w:p>
        </w:tc>
      </w:tr>
    </w:tbl>
    <w:p>
      <w:pPr>
        <w:spacing w:after="20"/>
      </w:pP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6. Conclusão geral — texto-base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Com base nos procedimentos executados e ressalvadas as limitações descritas, [FOI/NÃO FOI] possível obter evidência suficiente e apropriada para responder integralmente aos quesitos. Os papéis de trabalho indicam [SÍNTESE DOS ACHADOS], no montante nominal de R$ [●] e atualizado, segundo os parâmetros descritos no PT-07, em R$ [●] na data-base [●]. O resultado atuarial de R$ [●] deve ser interpretado como medida de desequilíbrio de longo prazo e não como componente automático do dano. Recomenda-se [DILIGÊNCIAS/CONTROLES].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7. Declaração de limitações e responsabilidade técnica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A conclusão está condicionada à autenticidade e integridade dos documentos fornecidos. A equipe não substitui avaliação atuarial por profissional habilitado, nem emite qualificação penal ou jurídica. Achados e valores somente devem ser divulgados após revisão independente dos papéis de trabalho e oportunidade de manifestação dos responsáveis pelas informações.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Fontes normativas e técnicas oficiais</w:t>
      </w:r>
    </w:p>
    <w:p>
      <w:pPr>
        <w:keepNext w:val="0"/>
        <w:spacing w:before="0" w:after="100" w:line="283" w:lineRule="auto"/>
        <w:jc w:val="both"/>
      </w:pPr>
      <w:r>
        <w:rPr>
          <w:rFonts w:ascii="Century Gothic" w:hAnsi="Century Gothic" w:eastAsia="Century Gothic"/>
          <w:b w:val="0"/>
          <w:i w:val="0"/>
          <w:color w:val="17342C"/>
          <w:sz w:val="20"/>
        </w:rPr>
        <w:t>As fontes abaixo devem ser consultadas na versão vigente para a data-base da auditoria. Normas locais — especialmente as Leis Municipais nº 18/2007 e nº 200/2022 e o Decreto Municipal nº 88/2018 — precisam ser obtidas em versão oficial e conferidas antes de qualquer conclusão.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Lei nº 9.717/1998 (texto compilado):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https://www.planalto.gov.br/ccivil_03/leis/l9717compilado.htm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Portaria MTP nº 1.467/2022 e alterações: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https://www.gov.br/previdencia/pt-br/assuntos/rpps/destaques/portaria-mtp-no-1.467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DIPR — Ministério da Previdência Social: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https://www.gov.br/previdencia/pt-br/assuntos/rpps/dipr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Auditoria direta de informações previdenciárias — Grupo 6: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https://www.gov.br/previdencia/pt-br/assuntos/rpps/dipr/grupo-6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MCASP — Tesouro Nacional: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https://www.tesourotransparente.gov.br/publicacoes/manual-de-contabilidade-aplicada-ao-setor-publico-mcasp/2025/26</w:t>
      </w:r>
    </w:p>
    <w:p>
      <w:pPr>
        <w:pStyle w:val="ListBullet"/>
        <w:spacing w:after="60"/>
      </w:pPr>
      <w:r>
        <w:rPr>
          <w:rFonts w:ascii="Century Gothic" w:hAnsi="Century Gothic" w:eastAsia="Century Gothic"/>
          <w:b/>
          <w:i w:val="0"/>
          <w:color w:val="17342C"/>
          <w:sz w:val="18"/>
        </w:rPr>
        <w:t xml:space="preserve">Serviço CADPREV: </w:t>
      </w:r>
      <w:r>
        <w:rPr>
          <w:rFonts w:ascii="Century Gothic" w:hAnsi="Century Gothic" w:eastAsia="Century Gothic"/>
          <w:b w:val="0"/>
          <w:i w:val="0"/>
          <w:color w:val="0B5D46"/>
          <w:sz w:val="17"/>
        </w:rPr>
        <w:t>https://www.gov.br/pt-br/servicos/informar-sobre-os-regimes-proprios-de-previdencia-social</w:t>
      </w:r>
    </w:p>
    <w:p>
      <w:pPr>
        <w:keepNext/>
        <w:spacing w:before="300" w:after="120"/>
        <w:pBdr>
          <w:bottom w:val="single" w:sz="8" w:space="5" w:color="C89620"/>
        </w:pBdr>
      </w:pPr>
      <w:r>
        <w:rPr>
          <w:rFonts w:ascii="Century Gothic" w:hAnsi="Century Gothic" w:eastAsia="Century Gothic"/>
          <w:b/>
          <w:i w:val="0"/>
          <w:color w:val="064532"/>
          <w:sz w:val="30"/>
        </w:rPr>
        <w:t>8. Assinaturas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5"/>
        <w:gridCol w:w="3235"/>
        <w:gridCol w:w="3235"/>
      </w:tblGrid>
      <w:tr>
        <w:trPr>
          <w:tblHeader w:val="true"/>
        </w:trPr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Preparado por</w:t>
            </w:r>
          </w:p>
        </w:tc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Revisado por</w:t>
            </w:r>
          </w:p>
        </w:tc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064532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entury Gothic" w:hAnsi="Century Gothic" w:eastAsia="Century Gothic"/>
                <w:b/>
                <w:color w:val="FFFFFF"/>
                <w:sz w:val="17"/>
              </w:rPr>
              <w:t>Aprovado por</w:t>
            </w:r>
          </w:p>
        </w:tc>
      </w:tr>
      <w:tr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Nome: ____________________</w:t>
              <w:br/>
              <w:t>Data: ____/____/______</w:t>
            </w:r>
          </w:p>
        </w:tc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Nome: ____________________</w:t>
              <w:br/>
              <w:t>Data: ____/____/______</w:t>
            </w:r>
          </w:p>
        </w:tc>
        <w:tc>
          <w:tcPr>
            <w:tcW w:type="dxa" w:w="309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line="252" w:lineRule="auto"/>
              <w:jc w:val="left"/>
            </w:pPr>
            <w:r/>
            <w:r>
              <w:rPr>
                <w:rFonts w:ascii="Century Gothic" w:hAnsi="Century Gothic" w:eastAsia="Century Gothic"/>
                <w:b w:val="0"/>
                <w:color w:val="17342C"/>
                <w:sz w:val="17"/>
              </w:rPr>
              <w:t>Nome: ____________________</w:t>
              <w:br/>
              <w:t>Data: ____/____/______</w:t>
            </w:r>
          </w:p>
        </w:tc>
      </w:tr>
    </w:tbl>
    <w:p>
      <w:pPr>
        <w:spacing w:after="20"/>
      </w:pPr>
    </w:p>
    <w:sectPr w:rsidR="00FC693F" w:rsidRPr="0006063C" w:rsidSect="00034616">
      <w:headerReference w:type="default" r:id="rId9"/>
      <w:footerReference w:type="default" r:id="rId10"/>
      <w:pgSz w:w="11952" w:h="16848"/>
      <w:pgMar w:top="1037" w:right="1123" w:bottom="979" w:left="1123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entury Gothic" w:hAnsi="Century Gothic" w:eastAsia="Century Gothic"/>
        <w:b w:val="0"/>
        <w:i w:val="0"/>
        <w:color w:val="596B65"/>
        <w:sz w:val="14"/>
      </w:rPr>
      <w:t xml:space="preserve">Material de treinamento  •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entury Gothic" w:hAnsi="Century Gothic" w:eastAsia="Century Gothic"/>
        <w:b/>
        <w:i w:val="0"/>
        <w:color w:val="596B65"/>
        <w:sz w:val="15"/>
      </w:rPr>
      <w:t>ELOS • ACADEMIA DE AUDITORIA PÚBLICA  |  MÓDULO 1 — RPPS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 w:eastAsia="Century Gothic"/>
      <w:color w:val="17342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